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E51" w:rsidRDefault="00766E51" w:rsidP="00766E51">
      <w:pPr>
        <w:jc w:val="both"/>
        <w:rPr>
          <w:i/>
        </w:rPr>
      </w:pPr>
      <w:bookmarkStart w:id="0" w:name="_GoBack"/>
      <w:bookmarkEnd w:id="0"/>
      <w:r>
        <w:rPr>
          <w:b/>
          <w:u w:val="single"/>
        </w:rPr>
        <w:t>Homilie – Zesde zondag van Pasen – jaar B                                                           10.05.2015</w:t>
      </w:r>
      <w:r>
        <w:rPr>
          <w:i/>
        </w:rPr>
        <w:br/>
        <w:t>Handelingen 10, 25-26.34-35.44-48 / 1 Johannes 4, 7-10 / Johannes 15, 9-17</w:t>
      </w:r>
    </w:p>
    <w:p w:rsidR="00766E51" w:rsidRDefault="00766E51" w:rsidP="00766E51">
      <w:pPr>
        <w:jc w:val="both"/>
      </w:pPr>
    </w:p>
    <w:p w:rsidR="00766E51" w:rsidRDefault="00766E51" w:rsidP="00766E51">
      <w:pPr>
        <w:jc w:val="both"/>
      </w:pPr>
    </w:p>
    <w:p w:rsidR="00766E51" w:rsidRDefault="00766E51" w:rsidP="00766E51">
      <w:pPr>
        <w:jc w:val="both"/>
      </w:pPr>
      <w:r>
        <w:t xml:space="preserve">Soms vraag ik me af waarom theologen altijd weer opnieuw boeken schrijven over God en de wereld, heel dikwijls serieuze kanjers, boeken die slechts weinig mensen lezen omdat ze voor buitenstaanders een ingewikkeld taalgebruik hanteren. Is het dan echt zo moeilijk om in eenvoudige bewoordingen te zeggen wat de kern van ons geloof is of waarom ons geloof zich onderscheidt van andere godsdiensten? </w:t>
      </w:r>
    </w:p>
    <w:p w:rsidR="00766E51" w:rsidRPr="00427A9A" w:rsidRDefault="00766E51" w:rsidP="00766E51">
      <w:pPr>
        <w:jc w:val="both"/>
        <w:rPr>
          <w:sz w:val="16"/>
          <w:szCs w:val="16"/>
        </w:rPr>
      </w:pPr>
    </w:p>
    <w:p w:rsidR="00766E51" w:rsidRDefault="00766E51" w:rsidP="00766E51">
      <w:pPr>
        <w:jc w:val="both"/>
      </w:pPr>
      <w:r>
        <w:t xml:space="preserve">Het lijkt alsof Jezus het gemakkelijker had om in heldere bewoordingen zijn leer door te geven. Het evangelie van vandaag begon met zo een kernachtige en duidelijke uitspraak: </w:t>
      </w:r>
      <w:r>
        <w:rPr>
          <w:i/>
        </w:rPr>
        <w:t>‘Zoals de Vader Mij heeft liefgehad, zo heb ook Ik u liefgehad. Blijft in mijn liefde.’</w:t>
      </w:r>
      <w:r>
        <w:t xml:space="preserve"> Daarmee is de essentie uitgedrukt. Daarmee is de hele boodschap van het evangelie onder één noemer geplaatst en wordt Gods verlossingswerk in een ontwapenend eenvoudige zin uitgedrukt. </w:t>
      </w:r>
    </w:p>
    <w:p w:rsidR="00766E51" w:rsidRPr="00427A9A" w:rsidRDefault="00766E51" w:rsidP="00766E51">
      <w:pPr>
        <w:jc w:val="both"/>
        <w:rPr>
          <w:sz w:val="16"/>
          <w:szCs w:val="16"/>
        </w:rPr>
      </w:pPr>
    </w:p>
    <w:p w:rsidR="00766E51" w:rsidRDefault="00766E51" w:rsidP="00766E51">
      <w:pPr>
        <w:jc w:val="both"/>
      </w:pPr>
      <w:r>
        <w:t xml:space="preserve">God de Vader heeft Jezus lief. Met diezelfde liefde had Jezus zijn leerlingen lief en doorheen zijn leerlingen ook alle mensen. Wanneer wij deze liefdevolle houding aannemen en aan elkaar doorgeven, dan blijven we ook in zijn liefde. Jezus zei het zo: </w:t>
      </w:r>
      <w:r>
        <w:rPr>
          <w:i/>
        </w:rPr>
        <w:t>‘Als gij mijn geboden onderhoudt, zult gij in mijn liefde blijven, gelijk Ik, die de geboden van mijn Vader heb onderhouden, in zijn liefde blijf. Dit zeg Ik u opdat mijn vreugde in u moge zijn en uw vreugde volkomen moge worden.’</w:t>
      </w:r>
      <w:r>
        <w:t xml:space="preserve"> </w:t>
      </w:r>
    </w:p>
    <w:p w:rsidR="00766E51" w:rsidRPr="00427A9A" w:rsidRDefault="00766E51" w:rsidP="00766E51">
      <w:pPr>
        <w:jc w:val="both"/>
        <w:rPr>
          <w:sz w:val="16"/>
          <w:szCs w:val="16"/>
        </w:rPr>
      </w:pPr>
    </w:p>
    <w:p w:rsidR="00766E51" w:rsidRDefault="00766E51" w:rsidP="00766E51">
      <w:pPr>
        <w:jc w:val="both"/>
      </w:pPr>
      <w:r>
        <w:rPr>
          <w:i/>
        </w:rPr>
        <w:t>‘Blijft in mijn liefde’</w:t>
      </w:r>
      <w:r>
        <w:t xml:space="preserve">, zei Jezus. Wat bedoelde Hij met die uitspraak? Het hele evangelie getuigt ervan dat Jezus niet alleen over de liefde sprak, maar die ook in daden omzette. Geen woorden, maar daden. Hij beleefde de liefde in zijn omgang met de mensen. Geen holle retoriek, maar daden. Om er enkele te noemen: </w:t>
      </w:r>
    </w:p>
    <w:p w:rsidR="00766E51" w:rsidRDefault="00766E51" w:rsidP="00766E51">
      <w:pPr>
        <w:numPr>
          <w:ilvl w:val="0"/>
          <w:numId w:val="1"/>
        </w:numPr>
        <w:jc w:val="both"/>
      </w:pPr>
      <w:r>
        <w:t xml:space="preserve">Jezus genas een zieke op een sabbat, een feestdag, wat indruiste tegen de toen geldende religieuze regels. Hij sluit er even zijn ogen voor omdat Hij liefheeft, omdat Hij een mens die vreselijk lijdt niet aan zijn lot kan overlaten. </w:t>
      </w:r>
    </w:p>
    <w:p w:rsidR="00766E51" w:rsidRDefault="00766E51" w:rsidP="00766E51">
      <w:pPr>
        <w:numPr>
          <w:ilvl w:val="0"/>
          <w:numId w:val="1"/>
        </w:numPr>
        <w:jc w:val="both"/>
      </w:pPr>
      <w:r>
        <w:t xml:space="preserve">Of, neem zijn omgang met tollenaars. In zijn tijd werden tollenaars door het volk gehaat omdat ze meewerkten met de Romeinse bezetter. De mensen hadden geen vertrouwen in hen, ze verachtten hen. Eén ervan, Matteüs, roept Jezus tot zijn leerling. Bij de ontmoeting met Zacheüs, een andere tollenaar, laat Jezus zien dat de houding van de toeschouwers fout is. Met liefde spreekt Hij Zacheüs aan, nodigt hem uit voor een gesprek bij hem thuis en haalt hem zo uit zijn isolement. </w:t>
      </w:r>
    </w:p>
    <w:p w:rsidR="00766E51" w:rsidRDefault="00766E51" w:rsidP="00766E51">
      <w:pPr>
        <w:jc w:val="both"/>
      </w:pPr>
      <w:r>
        <w:t xml:space="preserve">Jezus wil dat alle mensen, zonder onderscheid, gelukkig worden, zich goed in hun vel voelen. Die houding neemt Jezus aan, omdat God liefde is en omdat Gods Rijk alleen maar in concrete daden van naastenliefde tot wasdom komt. </w:t>
      </w:r>
    </w:p>
    <w:p w:rsidR="00766E51" w:rsidRPr="00427A9A" w:rsidRDefault="00766E51" w:rsidP="00766E51">
      <w:pPr>
        <w:jc w:val="both"/>
        <w:rPr>
          <w:sz w:val="16"/>
          <w:szCs w:val="16"/>
        </w:rPr>
      </w:pPr>
    </w:p>
    <w:p w:rsidR="00766E51" w:rsidRDefault="00766E51" w:rsidP="00766E51">
      <w:pPr>
        <w:jc w:val="both"/>
      </w:pPr>
      <w:r>
        <w:t xml:space="preserve">Zonder liefde verandert er in onze wereld weinig. Haat, onrecht, oorlog en bruut geweld halen nog altijd het nieuws. Het is niet voldoende om Jezus’ woorden vrijblijvend te herhalen. Het volstaat ook niet om vriendelijk en beleefd en lief te zijn voor elkaar. Het helpt niet wanneer we hele theorieën ontwikkelen hoe het zou moeten gaan met de wereld rondom ons. Van ons christenen wordt verwacht dat we naar het voorbeeld van Jezus die liefdevolle houding zonder meer in daden omzetten. </w:t>
      </w:r>
    </w:p>
    <w:p w:rsidR="00766E51" w:rsidRPr="00427A9A" w:rsidRDefault="00766E51" w:rsidP="00766E51">
      <w:pPr>
        <w:jc w:val="both"/>
        <w:rPr>
          <w:sz w:val="16"/>
          <w:szCs w:val="16"/>
        </w:rPr>
      </w:pPr>
    </w:p>
    <w:p w:rsidR="00766E51" w:rsidRDefault="00766E51" w:rsidP="00766E51">
      <w:pPr>
        <w:jc w:val="both"/>
      </w:pPr>
      <w:r>
        <w:t xml:space="preserve">Johannes schrijft in één van zijn brieven: </w:t>
      </w:r>
      <w:r>
        <w:rPr>
          <w:i/>
        </w:rPr>
        <w:t>‘De mens zonder liefde kent God niet, want God is liefde. En de liefde die God is, heeft zich onder ons geopenbaard doordat Hij zijn enige Zoon in de wereld gezonden heeft om ons het leven te brengen.’</w:t>
      </w:r>
      <w:r>
        <w:t xml:space="preserve"> (1 Joh. 4, 8-9). God is liefde. Die uitspraak van Johannes is heel concreet. Hij schrijft dat vanuit het besef dat Jezus onder ons gekomen is als concrete uitdrukking van Gods vergevingsgezindheid, ondanks de hardheid en </w:t>
      </w:r>
      <w:r>
        <w:lastRenderedPageBreak/>
        <w:t xml:space="preserve">de zwakheid van de mens. </w:t>
      </w:r>
      <w:r>
        <w:rPr>
          <w:i/>
        </w:rPr>
        <w:t>‘Niet wij hebben God liefgehad, maar Hij heeft ons liefgehad en Hij heeft zijn Zoon gezonden om onze zonden uit te wissen’</w:t>
      </w:r>
      <w:r>
        <w:t xml:space="preserve">, schrijft Johannes. </w:t>
      </w:r>
    </w:p>
    <w:p w:rsidR="00766E51" w:rsidRPr="00427A9A" w:rsidRDefault="00766E51" w:rsidP="00766E51">
      <w:pPr>
        <w:jc w:val="both"/>
        <w:rPr>
          <w:sz w:val="16"/>
          <w:szCs w:val="16"/>
        </w:rPr>
      </w:pPr>
    </w:p>
    <w:p w:rsidR="00766E51" w:rsidRDefault="00766E51" w:rsidP="00766E51">
      <w:pPr>
        <w:jc w:val="both"/>
      </w:pPr>
      <w:r>
        <w:t xml:space="preserve">Jezus heeft door zijn woorden, maar vooral door zijn daden getoond waartoe liefde in staat is. Het is een uitnodiging voor alle mensen van goede wil, zonder uitzondering. Niemand mag zich daarbij beter achten dan de ander. Ook wetten en regels zijn ondergeschikt als het om de liefde gaat, hoor ik Jezus zeggen. De letter van de wet vonden sommigen in het jodendom belangrijker dan de geest van de wet. </w:t>
      </w:r>
    </w:p>
    <w:p w:rsidR="00766E51" w:rsidRPr="00427A9A" w:rsidRDefault="00766E51" w:rsidP="00766E51">
      <w:pPr>
        <w:jc w:val="both"/>
        <w:rPr>
          <w:sz w:val="16"/>
          <w:szCs w:val="16"/>
        </w:rPr>
      </w:pPr>
    </w:p>
    <w:p w:rsidR="00766E51" w:rsidRDefault="00766E51" w:rsidP="00766E51">
      <w:pPr>
        <w:jc w:val="both"/>
      </w:pPr>
      <w:r>
        <w:t xml:space="preserve">De eerste christenen, oorspronkelijk Joodse volgelingen van Jezus, stonden voor een dilemma: strikt vasthouden aan de joodse wet of een ruimere houding aannemen tegenover niet-joden. Moesten heidenen die volgeling van Jezus wilden worden, eerst een omweg maken langs de joodse wet? Lucas, de schrijver van de Handelingen, waaruit de eerste lezing kwam, wil aantonen dat enkel een zuiver hart telt. Vanaf de doop van de heiden Cornelius is het duidelijk dat de heilige Geest hinderpalen wegneemt tussen mensen. Petrus drukt dat uit met de woorden: </w:t>
      </w:r>
      <w:r>
        <w:rPr>
          <w:i/>
        </w:rPr>
        <w:t>‘Nu besef ik pas goed dat er bij God geen aanzien van personen bestaat, maar dat, uit welk volk ook, ieder mens die Hem vreest en het goede doet, Hem welgevallig is.’</w:t>
      </w:r>
      <w:r>
        <w:t xml:space="preserve"> Ook over de heidenen is de gave van de heilige Geest uitgestort. Geen geleerde of hoogdravende woorden, maar openheid en liefde voor elkaar. Ja, God is liefde voor alle mensen van goede wil. </w:t>
      </w:r>
    </w:p>
    <w:p w:rsidR="00766E51" w:rsidRDefault="00766E51" w:rsidP="00766E51">
      <w:pPr>
        <w:jc w:val="both"/>
      </w:pPr>
    </w:p>
    <w:p w:rsidR="00766E51" w:rsidRDefault="00766E51" w:rsidP="00766E51">
      <w:pPr>
        <w:jc w:val="center"/>
        <w:rPr>
          <w:rFonts w:ascii="Comic Sans MS" w:hAnsi="Comic Sans MS"/>
          <w:color w:val="003300"/>
          <w:sz w:val="27"/>
          <w:szCs w:val="27"/>
          <w:lang w:val="fy-NL"/>
        </w:rPr>
      </w:pPr>
      <w:r>
        <w:rPr>
          <w:rFonts w:ascii="Comic Sans MS" w:hAnsi="Comic Sans MS"/>
          <w:noProof/>
          <w:color w:val="003300"/>
          <w:sz w:val="27"/>
          <w:szCs w:val="27"/>
          <w:lang w:eastAsia="nl-BE"/>
        </w:rPr>
        <w:drawing>
          <wp:inline distT="0" distB="0" distL="0" distR="0">
            <wp:extent cx="3131185" cy="3811270"/>
            <wp:effectExtent l="0" t="0" r="0" b="0"/>
            <wp:docPr id="1" name="Afbeelding 1" descr="05.09. In Liefde Bloei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5.09. In Liefde Bloeien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1185" cy="3811270"/>
                    </a:xfrm>
                    <a:prstGeom prst="rect">
                      <a:avLst/>
                    </a:prstGeom>
                    <a:noFill/>
                    <a:ln>
                      <a:noFill/>
                    </a:ln>
                  </pic:spPr>
                </pic:pic>
              </a:graphicData>
            </a:graphic>
          </wp:inline>
        </w:drawing>
      </w:r>
    </w:p>
    <w:p w:rsidR="00766E51" w:rsidRPr="00427A9A" w:rsidRDefault="00766E51" w:rsidP="00766E51">
      <w:pPr>
        <w:jc w:val="center"/>
        <w:rPr>
          <w:i/>
          <w:sz w:val="20"/>
          <w:szCs w:val="20"/>
        </w:rPr>
      </w:pPr>
      <w:r w:rsidRPr="00427A9A">
        <w:rPr>
          <w:i/>
          <w:sz w:val="20"/>
          <w:szCs w:val="20"/>
          <w:lang w:val="fy-NL"/>
        </w:rPr>
        <w:t xml:space="preserve">Blazoen van </w:t>
      </w:r>
      <w:r>
        <w:rPr>
          <w:i/>
          <w:sz w:val="20"/>
          <w:szCs w:val="20"/>
          <w:lang w:val="fy-NL"/>
        </w:rPr>
        <w:t xml:space="preserve">de Amsterdamse rederijkerskamer </w:t>
      </w:r>
      <w:r w:rsidRPr="00427A9A">
        <w:rPr>
          <w:i/>
          <w:sz w:val="20"/>
          <w:szCs w:val="20"/>
          <w:lang w:val="fy-NL"/>
        </w:rPr>
        <w:t>'De Eglentier'</w:t>
      </w:r>
      <w:r w:rsidRPr="00427A9A">
        <w:rPr>
          <w:i/>
          <w:sz w:val="20"/>
          <w:szCs w:val="20"/>
          <w:lang w:val="fy-NL"/>
        </w:rPr>
        <w:br/>
        <w:t>Het Kruis</w:t>
      </w:r>
      <w:r>
        <w:rPr>
          <w:i/>
          <w:sz w:val="20"/>
          <w:szCs w:val="20"/>
          <w:lang w:val="fy-NL"/>
        </w:rPr>
        <w:t xml:space="preserve"> als een bloeiende rozenstruik, </w:t>
      </w:r>
      <w:r w:rsidRPr="00427A9A">
        <w:rPr>
          <w:i/>
          <w:sz w:val="20"/>
          <w:szCs w:val="20"/>
          <w:lang w:val="fy-NL"/>
        </w:rPr>
        <w:t>Plantijn Leiden 1584</w:t>
      </w:r>
    </w:p>
    <w:p w:rsidR="00766E51" w:rsidRDefault="00766E51" w:rsidP="00766E51">
      <w:pPr>
        <w:jc w:val="both"/>
      </w:pPr>
    </w:p>
    <w:p w:rsidR="00766E51" w:rsidRDefault="00766E51" w:rsidP="00766E51">
      <w:pPr>
        <w:jc w:val="both"/>
        <w:rPr>
          <w:i/>
        </w:rPr>
      </w:pPr>
      <w:r>
        <w:rPr>
          <w:i/>
        </w:rPr>
        <w:t xml:space="preserve">Jan Verheyen – Lier. </w:t>
      </w:r>
    </w:p>
    <w:p w:rsidR="00766E51" w:rsidRDefault="00766E51" w:rsidP="00766E51">
      <w:pPr>
        <w:jc w:val="both"/>
        <w:rPr>
          <w:i/>
        </w:rPr>
      </w:pPr>
      <w:r>
        <w:rPr>
          <w:i/>
        </w:rPr>
        <w:t>6</w:t>
      </w:r>
      <w:r w:rsidRPr="005F6051">
        <w:rPr>
          <w:i/>
          <w:vertAlign w:val="superscript"/>
        </w:rPr>
        <w:t>de</w:t>
      </w:r>
      <w:r>
        <w:rPr>
          <w:i/>
        </w:rPr>
        <w:t xml:space="preserve"> zondag van Pasen B – 10.5.2015</w:t>
      </w:r>
    </w:p>
    <w:p w:rsidR="00B71F9C" w:rsidRPr="00766E51" w:rsidRDefault="00766E51" w:rsidP="00766E51">
      <w:pPr>
        <w:pStyle w:val="Default"/>
        <w:rPr>
          <w:i/>
        </w:rPr>
      </w:pPr>
      <w:r>
        <w:rPr>
          <w:i/>
        </w:rPr>
        <w:t>(Inspiratie: o.a. Het Woord delen, Preekschema’s aansluitend bij ‘De Zondag vieren’ en ‘De vierende Kerk’, Lezingencyclus jaar B 2014-2015, Berne Media)</w:t>
      </w:r>
    </w:p>
    <w:sectPr w:rsidR="00B71F9C" w:rsidRPr="00766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70943"/>
    <w:multiLevelType w:val="hybridMultilevel"/>
    <w:tmpl w:val="F1587520"/>
    <w:lvl w:ilvl="0" w:tplc="A1B085EA">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E51"/>
    <w:rsid w:val="00766E51"/>
    <w:rsid w:val="008A6A9B"/>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6E5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66E51"/>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paragraph" w:styleId="Ballontekst">
    <w:name w:val="Balloon Text"/>
    <w:basedOn w:val="Standaard"/>
    <w:link w:val="BallontekstChar"/>
    <w:uiPriority w:val="99"/>
    <w:semiHidden/>
    <w:unhideWhenUsed/>
    <w:rsid w:val="00766E51"/>
    <w:rPr>
      <w:rFonts w:ascii="Tahoma" w:hAnsi="Tahoma" w:cs="Tahoma"/>
      <w:sz w:val="16"/>
      <w:szCs w:val="16"/>
    </w:rPr>
  </w:style>
  <w:style w:type="character" w:customStyle="1" w:styleId="BallontekstChar">
    <w:name w:val="Ballontekst Char"/>
    <w:basedOn w:val="Standaardalinea-lettertype"/>
    <w:link w:val="Ballontekst"/>
    <w:uiPriority w:val="99"/>
    <w:semiHidden/>
    <w:rsid w:val="00766E51"/>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6E5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66E51"/>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paragraph" w:styleId="Ballontekst">
    <w:name w:val="Balloon Text"/>
    <w:basedOn w:val="Standaard"/>
    <w:link w:val="BallontekstChar"/>
    <w:uiPriority w:val="99"/>
    <w:semiHidden/>
    <w:unhideWhenUsed/>
    <w:rsid w:val="00766E51"/>
    <w:rPr>
      <w:rFonts w:ascii="Tahoma" w:hAnsi="Tahoma" w:cs="Tahoma"/>
      <w:sz w:val="16"/>
      <w:szCs w:val="16"/>
    </w:rPr>
  </w:style>
  <w:style w:type="character" w:customStyle="1" w:styleId="BallontekstChar">
    <w:name w:val="Ballontekst Char"/>
    <w:basedOn w:val="Standaardalinea-lettertype"/>
    <w:link w:val="Ballontekst"/>
    <w:uiPriority w:val="99"/>
    <w:semiHidden/>
    <w:rsid w:val="00766E51"/>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4699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2015-05-07T06:47:00Z</dcterms:created>
  <dcterms:modified xsi:type="dcterms:W3CDTF">2015-05-07T06:47:00Z</dcterms:modified>
</cp:coreProperties>
</file>