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EE5" w:rsidRDefault="00531EE5" w:rsidP="00531EE5">
      <w:pPr>
        <w:jc w:val="both"/>
      </w:pPr>
      <w:bookmarkStart w:id="0" w:name="_GoBack"/>
      <w:bookmarkEnd w:id="0"/>
      <w:r>
        <w:rPr>
          <w:b/>
          <w:u w:val="single"/>
        </w:rPr>
        <w:t>Homilie – Derde zondag van Pasen – jaar A                                                          30.04.2017</w:t>
      </w:r>
      <w:r>
        <w:rPr>
          <w:i/>
        </w:rPr>
        <w:br/>
        <w:t>Handelingen 2, 14.22-32 / 1 Petrus 1, 17-21 / Lucas 24, 13-35</w:t>
      </w:r>
    </w:p>
    <w:p w:rsidR="00531EE5" w:rsidRDefault="00531EE5" w:rsidP="00531EE5">
      <w:pPr>
        <w:jc w:val="both"/>
      </w:pPr>
    </w:p>
    <w:p w:rsidR="00531EE5" w:rsidRDefault="00531EE5" w:rsidP="00531EE5">
      <w:pPr>
        <w:jc w:val="both"/>
      </w:pPr>
      <w:r>
        <w:t xml:space="preserve">Een overbekend evangelie dat we zojuist gehoord hebben. We kennen het ook van schilderijen en van gedichten: die twee leerlingen uit Emmaüs, zittend aan tafel met die bijzondere vreemdeling, die onverwachts met hen meeliep. </w:t>
      </w:r>
      <w:r>
        <w:rPr>
          <w:i/>
        </w:rPr>
        <w:t>‘Blijf bij ons’</w:t>
      </w:r>
      <w:r>
        <w:t xml:space="preserve">, hadden ze tegen Hem gezegd. Hij was erop ingegaan en met hen aan tafel gegaan. En ineens, bij het breken van het brood, waren hun ogen open gegaan. </w:t>
      </w:r>
      <w:r>
        <w:rPr>
          <w:i/>
        </w:rPr>
        <w:t>‘Brandde ons hart niet in ons’</w:t>
      </w:r>
      <w:r>
        <w:t xml:space="preserve">, zeiden ze tegen elkaar, </w:t>
      </w:r>
      <w:r>
        <w:rPr>
          <w:i/>
        </w:rPr>
        <w:t>‘zoals Hij onderweg met ons sprak en ons de Schriften ontsloot?’</w:t>
      </w:r>
      <w:r>
        <w:t xml:space="preserve"> Stond ons hart niet in brand, raakten wij niet in vuur en vlam, zouden wij zeggen. </w:t>
      </w:r>
    </w:p>
    <w:p w:rsidR="00531EE5" w:rsidRPr="002239F8" w:rsidRDefault="00531EE5" w:rsidP="00531EE5">
      <w:pPr>
        <w:jc w:val="both"/>
        <w:rPr>
          <w:sz w:val="16"/>
          <w:szCs w:val="16"/>
        </w:rPr>
      </w:pPr>
    </w:p>
    <w:p w:rsidR="00531EE5" w:rsidRDefault="00531EE5" w:rsidP="00531EE5">
      <w:pPr>
        <w:jc w:val="both"/>
      </w:pPr>
      <w:r>
        <w:t xml:space="preserve">Een paar dagen eerder waren ze vol verwachting de andere kant opgegaan, bergopwaarts, óp naar Jeruzalem zoals psalm 122 zingt. Daar wilden ze samen het pesachfeest vieren, dat zo bijzondere feest vol herinneringen aan die bevrijding uit de slavernij van Egypte. En waarschijnlijk hadden ze tijdens dat feest ook aan God gevraagd dat Hij hen zou helpen om een eind te maken aan die gehate bezetting door de Romeinen. De stemming in Jeruzalem was bijzonder geladen geweest vanwege die grote leermeester uit Nazareth, maar daarom ook hoopvol. Want Jezus was machtig in woord en daad en ze waren praktisch zeker dat Hij de verwachte Messias was. Hij zou hun land wel bevrijden van de Romeinen. Hij was de nieuwe Mozes die het volk zou wegleiden uit de slavernij. Ja, de tijd was rijp voor een nieuwe Mozes. </w:t>
      </w:r>
    </w:p>
    <w:p w:rsidR="00531EE5" w:rsidRDefault="00531EE5" w:rsidP="00531EE5">
      <w:pPr>
        <w:jc w:val="both"/>
      </w:pPr>
    </w:p>
    <w:p w:rsidR="00531EE5" w:rsidRDefault="00531EE5" w:rsidP="00531EE5">
      <w:pPr>
        <w:jc w:val="both"/>
      </w:pPr>
      <w:r>
        <w:t xml:space="preserve">Maar het was allemaal anders gelopen. Geen spoor van opstand tegen de Romeinen. Die Jezus, in wie zij zó geloofden, was verraden door een van zijn vrienden. Ze hadden Hem gevangen genomen, veroordeeld en als een misdadiger aan het kruis geslagen. Hun droom was voorbij. Ze hadden het allemaal met hun eigen ogen gezien. En met die verhalen van de vrouwen over het lege graf wisten ze al helemaal geen raad. </w:t>
      </w:r>
    </w:p>
    <w:p w:rsidR="00531EE5" w:rsidRPr="002239F8" w:rsidRDefault="00531EE5" w:rsidP="00531EE5">
      <w:pPr>
        <w:jc w:val="both"/>
        <w:rPr>
          <w:sz w:val="16"/>
          <w:szCs w:val="16"/>
        </w:rPr>
      </w:pPr>
    </w:p>
    <w:p w:rsidR="00531EE5" w:rsidRDefault="00531EE5" w:rsidP="00531EE5">
      <w:pPr>
        <w:jc w:val="both"/>
      </w:pPr>
      <w:r>
        <w:t xml:space="preserve">Ze waren nu op weg naar huis, die twee, terug naar Emmaüs. Van Jeruzalem weg, bergafwaarts, teleurgesteld. Hun stemming was ook bergafwaarts. Waarom moest het zo aflopen? Hoe moet een mens verder wanneer alle hoop ontnomen wordt? Ze hadden gelukkig nog mekaar, die twee. Samen het verdriet verwerken is altijd beter dan alleen. Maar de stemming was onder nul. </w:t>
      </w:r>
    </w:p>
    <w:p w:rsidR="00531EE5" w:rsidRPr="002239F8" w:rsidRDefault="00531EE5" w:rsidP="00531EE5">
      <w:pPr>
        <w:jc w:val="both"/>
        <w:rPr>
          <w:sz w:val="16"/>
          <w:szCs w:val="16"/>
        </w:rPr>
      </w:pPr>
    </w:p>
    <w:p w:rsidR="00531EE5" w:rsidRDefault="00531EE5" w:rsidP="00531EE5">
      <w:pPr>
        <w:jc w:val="both"/>
      </w:pPr>
      <w:r>
        <w:t xml:space="preserve">Ik denk dat ze dan ook blij waren dat ze iemand tegenkwamen die met hen wou meelopen, die naar hen wou luisteren. Iemand die dicht bij je emoties komt, maar die ook ruimte schept om nieuwe wegen te zien, andere gezichtspunten te ontdekken en de feiten op een rijtje te zetten, wat zij in hun verdriet en teleurstelling niet konden. </w:t>
      </w:r>
    </w:p>
    <w:p w:rsidR="00531EE5" w:rsidRPr="002239F8" w:rsidRDefault="00531EE5" w:rsidP="00531EE5">
      <w:pPr>
        <w:jc w:val="both"/>
        <w:rPr>
          <w:sz w:val="16"/>
          <w:szCs w:val="16"/>
        </w:rPr>
      </w:pPr>
    </w:p>
    <w:p w:rsidR="00531EE5" w:rsidRDefault="00531EE5" w:rsidP="00531EE5">
      <w:pPr>
        <w:jc w:val="both"/>
      </w:pPr>
      <w:r>
        <w:rPr>
          <w:i/>
        </w:rPr>
        <w:t>‘Wat is dat voor een gesprek dat jullie met elkaar voeren?’</w:t>
      </w:r>
      <w:r>
        <w:t xml:space="preserve"> Het was een open uitnodiging en de twee Emmaüsgangers gingen er maar al te graag op in. En ze vertelden opnieuw het hele verhaal, vanaf het verraad tot het lege graf. En de vreemdeling luistert geduldig. En wanneer ze uitgepraat zijn, neemt Hij het woord van hen over. Hij wuift de feiten niet weg, maar Hij laat er een ander licht op schijnen. En de bron waaruit Hij put is hen niet vreemd: als gelovige joden kennen zij van kindsbeen af alle verhalen van hun heilige geschriften: de Thora, de profeten, de psalmen. Maar die geschriften over de verwachting van de Messias worden hen nu heel nieuw uitgelegd. </w:t>
      </w:r>
      <w:r>
        <w:rPr>
          <w:i/>
        </w:rPr>
        <w:t xml:space="preserve">‘Moest de Messias dat alles niet lijden om zijn glorie binnen te gaan?’ </w:t>
      </w:r>
      <w:r>
        <w:t xml:space="preserve">horen ze die vreemdeling zeggen. Hij vertelde hun zeker over de lijdende dienaar uit Jesaja, dat wij met Goede Vrijdag hebben beluisterd en tijdens de wake op Witte Donderdag. Heel de Bijbelse boodschap neemt die vreemdeling met hen door, vanaf Mozes tot en met al de profeten. Het maakte in hen een nieuw geloof wakker. Ze kregen opnieuw vertrouwen en hoop: </w:t>
      </w:r>
      <w:r>
        <w:rPr>
          <w:i/>
        </w:rPr>
        <w:t>‘Brandde ons hart niet, raakte we niet in vuur en vlam toen Hij ons de Schriften verklaarde?’</w:t>
      </w:r>
      <w:r>
        <w:t xml:space="preserve"> </w:t>
      </w:r>
    </w:p>
    <w:p w:rsidR="00531EE5" w:rsidRDefault="00531EE5" w:rsidP="00531EE5">
      <w:pPr>
        <w:jc w:val="both"/>
      </w:pPr>
      <w:r>
        <w:lastRenderedPageBreak/>
        <w:t xml:space="preserve">En dan gaat die vreemdeling met hen aan tafel. Met elkaar aan tafel gaan wil zeggen dat je voor elkaar open wil staan, je neemt de tijd voor mekaar. Dat is in veel gezinnen nog maar weinig het geval. Vlug een snelle hap, warm gemaakt in de microgolfoven. Er is ook zoveel te doen in het moderne gezin, ieder op een ander tijdstip. Maar daar in Emmaüs werd tijd gemaakt om te luisteren en te spreken. En de harten werden warm en de ogen gingen open. </w:t>
      </w:r>
    </w:p>
    <w:p w:rsidR="00531EE5" w:rsidRPr="00360C23" w:rsidRDefault="00531EE5" w:rsidP="00531EE5">
      <w:pPr>
        <w:jc w:val="both"/>
        <w:rPr>
          <w:sz w:val="16"/>
          <w:szCs w:val="16"/>
        </w:rPr>
      </w:pPr>
    </w:p>
    <w:p w:rsidR="00531EE5" w:rsidRPr="00D90691" w:rsidRDefault="00531EE5" w:rsidP="00531EE5">
      <w:pPr>
        <w:jc w:val="both"/>
      </w:pPr>
      <w:r>
        <w:t xml:space="preserve">Dat </w:t>
      </w:r>
      <w:proofErr w:type="spellStart"/>
      <w:r>
        <w:t>Emmaüsverhaal</w:t>
      </w:r>
      <w:proofErr w:type="spellEnd"/>
      <w:r>
        <w:t xml:space="preserve"> is eigenlijk de oudste beschrijving van wat wij hier doen: met Christus in ons midden eucharistie vieren. Eerst worden door Jezus zelf de Schriften verklaard, zoals wij dat ook nu nog doen in de dienst van het Woord. Dan volgt bij de Emmaüsgangers de maaltijd rond brood en wijn, waarin die twee Jezus herkennen. Is ook niet elke eucharistieviering bedoeld om elkaar weer te verstaan, om elkaar nieuwe hoop te geven en elkaar moed in te spreken in een wereld die zoveel zorgen kent? Daarom beluisteren wij de Schriften en worden wij eraan herinnerd dat de Heer zelf in ons midden is. Ja, Jezus is onder ons om onze teleurstellingen en onze levenspijn, maar ook onze vreugde te delen. </w:t>
      </w:r>
      <w:r>
        <w:rPr>
          <w:i/>
        </w:rPr>
        <w:t>‘Blijf bij ons, Heer’</w:t>
      </w:r>
      <w:r>
        <w:t xml:space="preserve">, zeggen we dan ook de Emmaüsgangers na. Hij mag ook ons in vuur en vlam zetten. </w:t>
      </w:r>
    </w:p>
    <w:p w:rsidR="00531EE5" w:rsidRDefault="00531EE5" w:rsidP="00531EE5">
      <w:pPr>
        <w:jc w:val="both"/>
      </w:pPr>
    </w:p>
    <w:p w:rsidR="00531EE5" w:rsidRDefault="00531EE5" w:rsidP="00531EE5">
      <w:pPr>
        <w:jc w:val="center"/>
      </w:pPr>
      <w:r>
        <w:rPr>
          <w:noProof/>
          <w:lang w:eastAsia="nl-BE"/>
        </w:rPr>
        <w:drawing>
          <wp:inline distT="0" distB="0" distL="0" distR="0">
            <wp:extent cx="3838575" cy="5000625"/>
            <wp:effectExtent l="0" t="0" r="9525" b="9525"/>
            <wp:docPr id="1" name="Afbeelding 1" descr="F:\DATA\heft-daten\bilder\36-1702-18-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6-1702-18-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8575" cy="5000625"/>
                    </a:xfrm>
                    <a:prstGeom prst="rect">
                      <a:avLst/>
                    </a:prstGeom>
                    <a:noFill/>
                    <a:ln>
                      <a:noFill/>
                    </a:ln>
                  </pic:spPr>
                </pic:pic>
              </a:graphicData>
            </a:graphic>
          </wp:inline>
        </w:drawing>
      </w:r>
    </w:p>
    <w:p w:rsidR="00531EE5" w:rsidRPr="00D90691" w:rsidRDefault="00531EE5" w:rsidP="00531EE5">
      <w:pPr>
        <w:jc w:val="center"/>
        <w:rPr>
          <w:i/>
          <w:sz w:val="20"/>
          <w:szCs w:val="20"/>
        </w:rPr>
      </w:pPr>
      <w:r w:rsidRPr="00D90691">
        <w:rPr>
          <w:i/>
          <w:sz w:val="20"/>
          <w:szCs w:val="20"/>
        </w:rPr>
        <w:t>‘</w:t>
      </w:r>
      <w:proofErr w:type="spellStart"/>
      <w:r w:rsidRPr="00D90691">
        <w:rPr>
          <w:i/>
          <w:sz w:val="20"/>
          <w:szCs w:val="20"/>
        </w:rPr>
        <w:t>Emmaüsgang</w:t>
      </w:r>
      <w:proofErr w:type="spellEnd"/>
      <w:r w:rsidRPr="00D90691">
        <w:rPr>
          <w:i/>
          <w:sz w:val="20"/>
          <w:szCs w:val="20"/>
        </w:rPr>
        <w:t xml:space="preserve"> van Kléopas en zijn vrouw Maria’, Broeder </w:t>
      </w:r>
      <w:proofErr w:type="spellStart"/>
      <w:r w:rsidRPr="00D90691">
        <w:rPr>
          <w:i/>
          <w:sz w:val="20"/>
          <w:szCs w:val="20"/>
        </w:rPr>
        <w:t>Ansgar</w:t>
      </w:r>
      <w:proofErr w:type="spellEnd"/>
      <w:r w:rsidRPr="00D90691">
        <w:rPr>
          <w:i/>
          <w:sz w:val="20"/>
          <w:szCs w:val="20"/>
        </w:rPr>
        <w:t xml:space="preserve"> </w:t>
      </w:r>
      <w:proofErr w:type="spellStart"/>
      <w:r w:rsidRPr="00D90691">
        <w:rPr>
          <w:i/>
          <w:sz w:val="20"/>
          <w:szCs w:val="20"/>
        </w:rPr>
        <w:t>Stukenborg</w:t>
      </w:r>
      <w:proofErr w:type="spellEnd"/>
      <w:r w:rsidRPr="00D90691">
        <w:rPr>
          <w:i/>
          <w:sz w:val="20"/>
          <w:szCs w:val="20"/>
        </w:rPr>
        <w:t xml:space="preserve">, Klooster </w:t>
      </w:r>
      <w:proofErr w:type="spellStart"/>
      <w:r w:rsidRPr="00D90691">
        <w:rPr>
          <w:i/>
          <w:sz w:val="20"/>
          <w:szCs w:val="20"/>
        </w:rPr>
        <w:t>Nütschau</w:t>
      </w:r>
      <w:proofErr w:type="spellEnd"/>
      <w:r w:rsidRPr="00D90691">
        <w:rPr>
          <w:i/>
          <w:sz w:val="20"/>
          <w:szCs w:val="20"/>
        </w:rPr>
        <w:t xml:space="preserve">, </w:t>
      </w:r>
      <w:proofErr w:type="spellStart"/>
      <w:r w:rsidRPr="00D90691">
        <w:rPr>
          <w:i/>
          <w:sz w:val="20"/>
          <w:szCs w:val="20"/>
        </w:rPr>
        <w:t>Travenbrück</w:t>
      </w:r>
      <w:proofErr w:type="spellEnd"/>
    </w:p>
    <w:p w:rsidR="00531EE5" w:rsidRDefault="00531EE5" w:rsidP="00531EE5">
      <w:pPr>
        <w:jc w:val="both"/>
      </w:pPr>
    </w:p>
    <w:p w:rsidR="00531EE5" w:rsidRDefault="00531EE5" w:rsidP="00531EE5">
      <w:pPr>
        <w:rPr>
          <w:i/>
        </w:rPr>
      </w:pPr>
      <w:r>
        <w:rPr>
          <w:i/>
        </w:rPr>
        <w:t xml:space="preserve">Jan Verheyen – Lier. </w:t>
      </w:r>
    </w:p>
    <w:p w:rsidR="00531EE5" w:rsidRDefault="00531EE5" w:rsidP="00531EE5">
      <w:pPr>
        <w:rPr>
          <w:i/>
        </w:rPr>
      </w:pPr>
      <w:r>
        <w:rPr>
          <w:i/>
        </w:rPr>
        <w:t>Derde zondag van Pasen A – 30.4.2017</w:t>
      </w:r>
    </w:p>
    <w:p w:rsidR="00B71F9C" w:rsidRPr="00531EE5" w:rsidRDefault="00531EE5">
      <w:pPr>
        <w:rPr>
          <w:i/>
        </w:rPr>
      </w:pPr>
      <w:r>
        <w:rPr>
          <w:i/>
        </w:rPr>
        <w:t>(Inspiratie: o.a. Dr. Rob G.A. Kurvers, In het voetspoor van de Messias. Preken voor het jaar A, Berne Media 2016)</w:t>
      </w:r>
    </w:p>
    <w:sectPr w:rsidR="00B71F9C" w:rsidRPr="00531E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EE5"/>
    <w:rsid w:val="00531EE5"/>
    <w:rsid w:val="00B16395"/>
    <w:rsid w:val="00B71F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1EE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31EE5"/>
    <w:rPr>
      <w:rFonts w:ascii="Tahoma" w:hAnsi="Tahoma" w:cs="Tahoma"/>
      <w:sz w:val="16"/>
      <w:szCs w:val="16"/>
    </w:rPr>
  </w:style>
  <w:style w:type="character" w:customStyle="1" w:styleId="BallontekstChar">
    <w:name w:val="Ballontekst Char"/>
    <w:basedOn w:val="Standaardalinea-lettertype"/>
    <w:link w:val="Ballontekst"/>
    <w:uiPriority w:val="99"/>
    <w:semiHidden/>
    <w:rsid w:val="00531EE5"/>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1EE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31EE5"/>
    <w:rPr>
      <w:rFonts w:ascii="Tahoma" w:hAnsi="Tahoma" w:cs="Tahoma"/>
      <w:sz w:val="16"/>
      <w:szCs w:val="16"/>
    </w:rPr>
  </w:style>
  <w:style w:type="character" w:customStyle="1" w:styleId="BallontekstChar">
    <w:name w:val="Ballontekst Char"/>
    <w:basedOn w:val="Standaardalinea-lettertype"/>
    <w:link w:val="Ballontekst"/>
    <w:uiPriority w:val="99"/>
    <w:semiHidden/>
    <w:rsid w:val="00531EE5"/>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832</Words>
  <Characters>4579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2017-04-26T14:37:00Z</dcterms:created>
  <dcterms:modified xsi:type="dcterms:W3CDTF">2017-04-26T14:37:00Z</dcterms:modified>
</cp:coreProperties>
</file>