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48" w:rsidRDefault="00C83A48" w:rsidP="00C83A48">
      <w:pPr>
        <w:jc w:val="both"/>
        <w:rPr>
          <w:i/>
        </w:rPr>
      </w:pPr>
      <w:r>
        <w:rPr>
          <w:b/>
          <w:u w:val="single"/>
        </w:rPr>
        <w:t>Homilie – Zesentwintigste zondag door het jaar – jaar B                                     30.09.2018</w:t>
      </w:r>
    </w:p>
    <w:p w:rsidR="00C83A48" w:rsidRDefault="00C83A48" w:rsidP="00C83A48">
      <w:pPr>
        <w:jc w:val="both"/>
      </w:pPr>
      <w:r>
        <w:rPr>
          <w:i/>
        </w:rPr>
        <w:t>Numeri 11, 25-29 / Jakobus 5, 1-6 / Marcus 9, 38-43.45.47-48</w:t>
      </w:r>
    </w:p>
    <w:p w:rsidR="00C83A48" w:rsidRDefault="00C83A48" w:rsidP="00C83A48">
      <w:pPr>
        <w:jc w:val="both"/>
      </w:pPr>
    </w:p>
    <w:p w:rsidR="00C83A48" w:rsidRDefault="00C83A48" w:rsidP="00C83A48">
      <w:pPr>
        <w:jc w:val="both"/>
      </w:pPr>
      <w:r>
        <w:t xml:space="preserve">In de lezingen van vandaag lijkt het te gaan over de vraag wie er wel of niet bij hoort. Het begint al bij Mozes. Voorafgaand aan dat korte stukje dat we hoorden voorlezen uit het boek Numeri is er al heel wat gebeurd. Het volk klaagt steen en been tegen God. Ze gaan zelfs zover te zeggen dat ze liever in Egypte waren gebleven. Want daar hadden ze tenminste nog goed te eten in plaats van dat eeuwige manna. Mozes, die zo zijn best doet, kan al dat geklaag niet meer aan en zegt dat ook tegen God. Het is duidelijk dat er wat moet gebeuren. </w:t>
      </w:r>
    </w:p>
    <w:p w:rsidR="00C83A48" w:rsidRPr="00541C5D" w:rsidRDefault="00C83A48" w:rsidP="00C83A48">
      <w:pPr>
        <w:jc w:val="both"/>
        <w:rPr>
          <w:sz w:val="16"/>
          <w:szCs w:val="16"/>
        </w:rPr>
      </w:pPr>
    </w:p>
    <w:p w:rsidR="00C83A48" w:rsidRDefault="00C83A48" w:rsidP="00C83A48">
      <w:pPr>
        <w:jc w:val="both"/>
      </w:pPr>
      <w:r>
        <w:t xml:space="preserve">Daarom moet Mozes van God de zeventig oudsten verzamelen bij de tent van de samenkomst. Daar zal God hen doen delen in de geest die op Mozes rust. Voortaan zullen ze dan samen met Mozes het gezag en de verantwoordelijkheid voor het volk kunnen dragen. </w:t>
      </w:r>
    </w:p>
    <w:p w:rsidR="00C83A48" w:rsidRDefault="00C83A48" w:rsidP="00C83A48">
      <w:pPr>
        <w:jc w:val="both"/>
      </w:pPr>
      <w:r>
        <w:t xml:space="preserve">Maar niet iedereen die Mozes uitkiest komt naar de tent van de samenkomst. </w:t>
      </w:r>
      <w:proofErr w:type="spellStart"/>
      <w:r>
        <w:t>Eldad</w:t>
      </w:r>
      <w:proofErr w:type="spellEnd"/>
      <w:r>
        <w:t xml:space="preserve"> en </w:t>
      </w:r>
      <w:proofErr w:type="spellStart"/>
      <w:r>
        <w:t>Medad</w:t>
      </w:r>
      <w:proofErr w:type="spellEnd"/>
      <w:r>
        <w:t xml:space="preserve"> zijn ergens anders in het kamp gebleven. Maar evengoed beginnen ook zij te profeteren en dat leidt tot verwarring. Horen ze nu wel of niet bij de groep van de zeventig die de geest hebben ontvangen? Want ze waren niet naar de tent gekomen. Jozua, die later Mozes zal opvolgen als leider van het volk, wil dat Mozes hen verbiedt van de profeteren. </w:t>
      </w:r>
    </w:p>
    <w:p w:rsidR="00C83A48" w:rsidRPr="00541C5D" w:rsidRDefault="00C83A48" w:rsidP="00C83A48">
      <w:pPr>
        <w:jc w:val="both"/>
        <w:rPr>
          <w:sz w:val="16"/>
          <w:szCs w:val="16"/>
        </w:rPr>
      </w:pPr>
    </w:p>
    <w:p w:rsidR="00C83A48" w:rsidRPr="005352B5" w:rsidRDefault="00C83A48" w:rsidP="00C83A48">
      <w:pPr>
        <w:jc w:val="both"/>
        <w:rPr>
          <w:i/>
        </w:rPr>
      </w:pPr>
      <w:r>
        <w:t xml:space="preserve">Maar God deelt zijn geest, zijn levensadem en bezieling met iedereen die Hij wil. Ook als die mensen niet bij die tent staan. Die keuze is niet aan Mozes of aan ons. Mozes mag mensen uitkiezen, maar God is het die zijn geest wel of niet zendt. Goed doen is niet beperkt tot wie in de tent zitten of bij de tent samenkomen. Ook buiten die groep is God werkzaam in mensen. Eigenlijk zouden we moeten wensen dat iedereen zich door de Geest van God laat bezielen. Die Geest is niet iets wat je voor jezelf kunt houden of dat minder wordt als je het deelt. Integendeel: hoe meer mensen zich daardoor laten raken en bezielen, hoe beter. Mozes staat dan ook ten volle achter Gods initiatief om kwistig met zijn Geest om te gaan en hij zegt dat ook: </w:t>
      </w:r>
      <w:r>
        <w:rPr>
          <w:i/>
        </w:rPr>
        <w:t>‘Ik zou willen dat heel het volk van de Heer profeteerde en dat de Heer zijn geest op hen legde.’</w:t>
      </w:r>
    </w:p>
    <w:p w:rsidR="00C83A48" w:rsidRPr="00541C5D" w:rsidRDefault="00C83A48" w:rsidP="00C83A48">
      <w:pPr>
        <w:jc w:val="both"/>
        <w:rPr>
          <w:sz w:val="16"/>
          <w:szCs w:val="16"/>
        </w:rPr>
      </w:pPr>
    </w:p>
    <w:p w:rsidR="00C83A48" w:rsidRDefault="00C83A48" w:rsidP="00C83A48">
      <w:pPr>
        <w:jc w:val="both"/>
      </w:pPr>
      <w:r>
        <w:t xml:space="preserve">Ook in het evangelie klonk de vraag wie er wel of niet bij hoort. Nog maar pas zijn de leerlingen door Jezus op hun plaats gezet omdat ze een woordenwisseling hadden over de vraag wie van hen de grootste was, wie van hen premier zou worden van het koninkrijk. En nu zitten ze met een ander probleem. Er is een onbekende die in Jezus’ naam duivels uitdrijft. Iemand die niet tot de groep van Jezus’ leerlingen behoort. Johannes, Jezus’ geliefde leerling, vindt dat niet kunnen. Ook de leerlingen van Jezus vinden dat er onderscheid moet gemaakt worden tussen wie er wel bij hoort en wie niet. </w:t>
      </w:r>
    </w:p>
    <w:p w:rsidR="00C83A48" w:rsidRPr="00541C5D" w:rsidRDefault="00C83A48" w:rsidP="00C83A48">
      <w:pPr>
        <w:jc w:val="both"/>
        <w:rPr>
          <w:sz w:val="16"/>
          <w:szCs w:val="16"/>
        </w:rPr>
      </w:pPr>
    </w:p>
    <w:p w:rsidR="00C83A48" w:rsidRDefault="00C83A48" w:rsidP="00C83A48">
      <w:pPr>
        <w:jc w:val="both"/>
      </w:pPr>
      <w:r>
        <w:t xml:space="preserve">Ook nu maken mensen zich druk over de vraag wie er wel of niet bij hoort, terwijl het God om heel andere dingen gaat. Dat is het wat Jezus duidelijk wil maken als Hij tot zijn leerlingen zegt: </w:t>
      </w:r>
      <w:r>
        <w:rPr>
          <w:i/>
        </w:rPr>
        <w:t>‘Wie niet tegen ons is, is voor ons’</w:t>
      </w:r>
      <w:r>
        <w:t xml:space="preserve">. Al het goede dat uit God komt moet kunnen groeien en mag niet beknot worden. </w:t>
      </w:r>
    </w:p>
    <w:p w:rsidR="00C83A48" w:rsidRPr="00541C5D" w:rsidRDefault="00C83A48" w:rsidP="00C83A48">
      <w:pPr>
        <w:jc w:val="both"/>
        <w:rPr>
          <w:sz w:val="16"/>
          <w:szCs w:val="16"/>
        </w:rPr>
      </w:pPr>
    </w:p>
    <w:p w:rsidR="00C83A48" w:rsidRDefault="00C83A48" w:rsidP="00C83A48">
      <w:pPr>
        <w:jc w:val="both"/>
      </w:pPr>
      <w:r>
        <w:t>Maar wat moeten we dan met die verdere uitspraken van Jezus? Toch wel harde taal die we te horen kregen: je kunt beter je hand afhakken als die je verleidt tot zonde, of je voet, of je oog uitrukken. Ja, Jezus spreekt harde taal. We kunnen het ons moeilijk van Hem voorstellen. En toch, de oproep van Jezus klinkt ondubbelzinnig: heb je soms last van grijphanden of ellebogenwerk, of heb je last van stampvoeten, of heb je last van ogen die per se alles willen zien of die dwingend willen zijn? Doe er dan alles aan om daar vanaf te geraken! Het is nogal logisch dat dit geen pleidooi van Jezus is om jezelf te verminken, maar wel om dringend jezelf te veranderen daar waar dat mogelijk en nodig is. Evangelisch leven ís niet gemakkelijk!</w:t>
      </w:r>
    </w:p>
    <w:p w:rsidR="00C83A48" w:rsidRDefault="00C83A48" w:rsidP="00C83A48">
      <w:pPr>
        <w:jc w:val="both"/>
      </w:pPr>
      <w:r>
        <w:lastRenderedPageBreak/>
        <w:t xml:space="preserve">Ja, Jezus spreekt harde taal. Hij daagt ons uit om niet halfslachtig aan het avontuur met Hem te beginnen. En alsof die scherpe taal van Jezus nog niet genoeg is, kregen we ook van Jakobus op onze donder in de tweede lezing. Het is dan ook een ijzersterke tekst, geschreven in de beste profetische traditie. De aangesprokenen zijn de rijken, zij die het zich kunnen permitteren om kommerloos te leven en helemaal op te gaan in luxe en etentjes allerhande, terwijl de arbeider het met een hongerloon moet doen. De profeten hebben het altijd gehad over de sociale verhoudingen binnen Israël: een samenleving die de Tora – Gods Wet – serieus neemt, zal ook recht doen aan wat mensen toekomt, of dat nu gaat om geld, om onderdak, om kleding, om voedsel of om respect. Die tweede lezing heeft de kracht van een kleine komeet en komt zomaar onze zorgeloze liturgie binnengewaaid. </w:t>
      </w:r>
    </w:p>
    <w:p w:rsidR="00C83A48" w:rsidRPr="0083068B" w:rsidRDefault="00C83A48" w:rsidP="00C83A48">
      <w:pPr>
        <w:jc w:val="both"/>
        <w:rPr>
          <w:sz w:val="16"/>
          <w:szCs w:val="16"/>
        </w:rPr>
      </w:pPr>
    </w:p>
    <w:p w:rsidR="00C83A48" w:rsidRDefault="00C83A48" w:rsidP="00C83A48">
      <w:pPr>
        <w:pStyle w:val="Plattetekst2"/>
      </w:pPr>
      <w:r>
        <w:t xml:space="preserve">Ja, de lezingen van deze zondag zitten behoorlijk dicht op ons vel. Maar er gebeurt ook zoveel goeds in onze Kerk. Ook vandaag zijn er nog overtuigde, dynamische en enthousiaste christenen, die met veel zin voor verantwoordelijkheid in de Kerk van Jezus de verrezen Christus verkondigen. Mensen die in het gewone beroepsleven staan, die een gezin hebben, maar zich ook engageren in de parochie, in de liturgie, in doopsel- en vormselcatechese, het bezoeken en begeleiden van zieken en oudere mensen… We beseffen het soms niet hoe noodzakelijk al deze mensen zijn voor het voortbestaan van de Kerk. We moeten dan ook blij en dankbaar zijn om de inzet van al deze mensen en net als Jezus zeggen: </w:t>
      </w:r>
      <w:r>
        <w:rPr>
          <w:i/>
        </w:rPr>
        <w:t>‘Wie niet tegen ons is, is voor ons’</w:t>
      </w:r>
      <w:r>
        <w:t xml:space="preserve">, of zoals Mozes: </w:t>
      </w:r>
      <w:r>
        <w:rPr>
          <w:i/>
        </w:rPr>
        <w:t>‘Ik zou willen dat heel het volk van de Heer profeteert’</w:t>
      </w:r>
      <w:r>
        <w:t xml:space="preserve"> en met dat laatste bedoelt Mozes dat wij het allemaal in ons hebben om Gods Rijk te verkondigen en te doen. Laten we dan ook openstaan voor Gods Geest die zich niet laat inperken in structuren. Die Geest van God waait waar Hij zelf wil en je kan die niet tegenhouden! </w:t>
      </w:r>
    </w:p>
    <w:p w:rsidR="00C83A48" w:rsidRPr="0094329A" w:rsidRDefault="00C83A48" w:rsidP="00C83A48">
      <w:pPr>
        <w:jc w:val="both"/>
        <w:rPr>
          <w:sz w:val="16"/>
          <w:szCs w:val="16"/>
        </w:rPr>
      </w:pPr>
    </w:p>
    <w:p w:rsidR="00C83A48" w:rsidRDefault="00C83A48" w:rsidP="00C83A48">
      <w:pPr>
        <w:jc w:val="center"/>
      </w:pPr>
      <w:r>
        <w:rPr>
          <w:noProof/>
          <w:lang w:eastAsia="nl-BE"/>
        </w:rPr>
        <w:drawing>
          <wp:inline distT="0" distB="0" distL="0" distR="0">
            <wp:extent cx="4000500" cy="3855720"/>
            <wp:effectExtent l="0" t="0" r="0" b="0"/>
            <wp:docPr id="1" name="Afbeelding 1" descr="F:\DATA\heft-daten\bilder\2018-26So-B-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018-26So-B-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0500" cy="3855720"/>
                    </a:xfrm>
                    <a:prstGeom prst="rect">
                      <a:avLst/>
                    </a:prstGeom>
                    <a:noFill/>
                    <a:ln>
                      <a:noFill/>
                    </a:ln>
                  </pic:spPr>
                </pic:pic>
              </a:graphicData>
            </a:graphic>
          </wp:inline>
        </w:drawing>
      </w:r>
    </w:p>
    <w:p w:rsidR="00C83A48" w:rsidRPr="0094329A" w:rsidRDefault="00C83A48" w:rsidP="00C83A48">
      <w:pPr>
        <w:jc w:val="center"/>
        <w:rPr>
          <w:i/>
          <w:sz w:val="20"/>
          <w:szCs w:val="20"/>
          <w:lang w:val="de-DE"/>
        </w:rPr>
      </w:pPr>
      <w:r w:rsidRPr="0094329A">
        <w:rPr>
          <w:i/>
          <w:sz w:val="20"/>
          <w:szCs w:val="20"/>
          <w:lang w:val="de-DE"/>
        </w:rPr>
        <w:t xml:space="preserve">‘Het </w:t>
      </w:r>
      <w:proofErr w:type="spellStart"/>
      <w:r w:rsidRPr="0094329A">
        <w:rPr>
          <w:i/>
          <w:sz w:val="20"/>
          <w:szCs w:val="20"/>
          <w:lang w:val="de-DE"/>
        </w:rPr>
        <w:t>Pinkstergebeuren</w:t>
      </w:r>
      <w:proofErr w:type="spellEnd"/>
      <w:r w:rsidRPr="0094329A">
        <w:rPr>
          <w:i/>
          <w:sz w:val="20"/>
          <w:szCs w:val="20"/>
          <w:lang w:val="de-DE"/>
        </w:rPr>
        <w:t xml:space="preserve">’, Jürgen Weber, </w:t>
      </w:r>
      <w:proofErr w:type="spellStart"/>
      <w:r w:rsidRPr="0094329A">
        <w:rPr>
          <w:i/>
          <w:sz w:val="20"/>
          <w:szCs w:val="20"/>
          <w:lang w:val="de-DE"/>
        </w:rPr>
        <w:t>Zendingspoort</w:t>
      </w:r>
      <w:proofErr w:type="spellEnd"/>
      <w:r w:rsidRPr="0094329A">
        <w:rPr>
          <w:i/>
          <w:sz w:val="20"/>
          <w:szCs w:val="20"/>
          <w:lang w:val="de-DE"/>
        </w:rPr>
        <w:t>, Stiftskirche Stuttgart</w:t>
      </w:r>
    </w:p>
    <w:p w:rsidR="00C83A48" w:rsidRPr="0094329A" w:rsidRDefault="00C83A48" w:rsidP="00C83A48">
      <w:pPr>
        <w:jc w:val="both"/>
        <w:rPr>
          <w:sz w:val="16"/>
          <w:szCs w:val="16"/>
          <w:lang w:val="de-DE"/>
        </w:rPr>
      </w:pPr>
    </w:p>
    <w:p w:rsidR="00C83A48" w:rsidRDefault="00C83A48" w:rsidP="00C83A48">
      <w:pPr>
        <w:jc w:val="both"/>
        <w:rPr>
          <w:i/>
        </w:rPr>
      </w:pPr>
      <w:r>
        <w:rPr>
          <w:i/>
        </w:rPr>
        <w:t>Jan Verheyen – Lier.</w:t>
      </w:r>
    </w:p>
    <w:p w:rsidR="00FE3B2B" w:rsidRPr="00C83A48" w:rsidRDefault="00C83A48" w:rsidP="00C83A48">
      <w:pPr>
        <w:jc w:val="both"/>
        <w:rPr>
          <w:i/>
        </w:rPr>
      </w:pPr>
      <w:r>
        <w:rPr>
          <w:i/>
        </w:rPr>
        <w:t>26</w:t>
      </w:r>
      <w:r w:rsidRPr="00B51122">
        <w:rPr>
          <w:i/>
          <w:vertAlign w:val="superscript"/>
        </w:rPr>
        <w:t>ste</w:t>
      </w:r>
      <w:r>
        <w:rPr>
          <w:i/>
        </w:rPr>
        <w:t xml:space="preserve"> zondag door het jaar B – 30.9.2018</w:t>
      </w:r>
      <w:bookmarkStart w:id="0" w:name="_GoBack"/>
      <w:bookmarkEnd w:id="0"/>
    </w:p>
    <w:sectPr w:rsidR="00FE3B2B" w:rsidRPr="00C83A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48"/>
    <w:rsid w:val="00C83A48"/>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83A4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C83A48"/>
    <w:pPr>
      <w:jc w:val="both"/>
    </w:pPr>
    <w:rPr>
      <w:szCs w:val="20"/>
    </w:rPr>
  </w:style>
  <w:style w:type="character" w:customStyle="1" w:styleId="Plattetekst2Char">
    <w:name w:val="Platte tekst 2 Char"/>
    <w:basedOn w:val="Standaardalinea-lettertype"/>
    <w:link w:val="Plattetekst2"/>
    <w:rsid w:val="00C83A48"/>
    <w:rPr>
      <w:rFonts w:ascii="Times New Roman" w:eastAsia="Times New Roman" w:hAnsi="Times New Roman" w:cs="Times New Roman"/>
      <w:sz w:val="24"/>
      <w:szCs w:val="20"/>
      <w:lang w:eastAsia="nl-NL"/>
    </w:rPr>
  </w:style>
  <w:style w:type="paragraph" w:styleId="Ballontekst">
    <w:name w:val="Balloon Text"/>
    <w:basedOn w:val="Standaard"/>
    <w:link w:val="BallontekstChar"/>
    <w:uiPriority w:val="99"/>
    <w:semiHidden/>
    <w:unhideWhenUsed/>
    <w:rsid w:val="00C83A48"/>
    <w:rPr>
      <w:rFonts w:ascii="Tahoma" w:hAnsi="Tahoma" w:cs="Tahoma"/>
      <w:sz w:val="16"/>
      <w:szCs w:val="16"/>
    </w:rPr>
  </w:style>
  <w:style w:type="character" w:customStyle="1" w:styleId="BallontekstChar">
    <w:name w:val="Ballontekst Char"/>
    <w:basedOn w:val="Standaardalinea-lettertype"/>
    <w:link w:val="Ballontekst"/>
    <w:uiPriority w:val="99"/>
    <w:semiHidden/>
    <w:rsid w:val="00C83A48"/>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83A4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C83A48"/>
    <w:pPr>
      <w:jc w:val="both"/>
    </w:pPr>
    <w:rPr>
      <w:szCs w:val="20"/>
    </w:rPr>
  </w:style>
  <w:style w:type="character" w:customStyle="1" w:styleId="Plattetekst2Char">
    <w:name w:val="Platte tekst 2 Char"/>
    <w:basedOn w:val="Standaardalinea-lettertype"/>
    <w:link w:val="Plattetekst2"/>
    <w:rsid w:val="00C83A48"/>
    <w:rPr>
      <w:rFonts w:ascii="Times New Roman" w:eastAsia="Times New Roman" w:hAnsi="Times New Roman" w:cs="Times New Roman"/>
      <w:sz w:val="24"/>
      <w:szCs w:val="20"/>
      <w:lang w:eastAsia="nl-NL"/>
    </w:rPr>
  </w:style>
  <w:style w:type="paragraph" w:styleId="Ballontekst">
    <w:name w:val="Balloon Text"/>
    <w:basedOn w:val="Standaard"/>
    <w:link w:val="BallontekstChar"/>
    <w:uiPriority w:val="99"/>
    <w:semiHidden/>
    <w:unhideWhenUsed/>
    <w:rsid w:val="00C83A48"/>
    <w:rPr>
      <w:rFonts w:ascii="Tahoma" w:hAnsi="Tahoma" w:cs="Tahoma"/>
      <w:sz w:val="16"/>
      <w:szCs w:val="16"/>
    </w:rPr>
  </w:style>
  <w:style w:type="character" w:customStyle="1" w:styleId="BallontekstChar">
    <w:name w:val="Ballontekst Char"/>
    <w:basedOn w:val="Standaardalinea-lettertype"/>
    <w:link w:val="Ballontekst"/>
    <w:uiPriority w:val="99"/>
    <w:semiHidden/>
    <w:rsid w:val="00C83A48"/>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919</Words>
  <Characters>5059</Characters>
  <Application>Microsoft Office Word</Application>
  <DocSecurity>0</DocSecurity>
  <Lines>42</Lines>
  <Paragraphs>11</Paragraphs>
  <ScaleCrop>false</ScaleCrop>
  <Company/>
  <LinksUpToDate>false</LinksUpToDate>
  <CharactersWithSpaces>5967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2018-09-28T16:13:00Z</dcterms:created>
  <dcterms:modified xsi:type="dcterms:W3CDTF">2018-09-28T16:14:00Z</dcterms:modified>
</cp:coreProperties>
</file>