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33" w:rsidRPr="00362B6E" w:rsidRDefault="00362B6E">
      <w:pPr>
        <w:rPr>
          <w:rFonts w:ascii="Verdana" w:hAnsi="Verdana"/>
          <w:b/>
          <w:sz w:val="24"/>
          <w:szCs w:val="24"/>
          <w:u w:val="single"/>
        </w:rPr>
      </w:pPr>
      <w:r w:rsidRPr="00362B6E">
        <w:rPr>
          <w:rFonts w:ascii="Verdana" w:hAnsi="Verdana"/>
          <w:b/>
          <w:sz w:val="24"/>
          <w:szCs w:val="24"/>
          <w:u w:val="single"/>
        </w:rPr>
        <w:t>Wat te doen bij nevenbestemming?</w:t>
      </w:r>
    </w:p>
    <w:p w:rsidR="00362B6E" w:rsidRDefault="00362B6E" w:rsidP="00362B6E">
      <w:pPr>
        <w:pStyle w:val="Plattetekst"/>
        <w:jc w:val="both"/>
        <w:rPr>
          <w:rFonts w:ascii="Verdana" w:hAnsi="Verdana"/>
          <w:i w:val="0"/>
          <w:sz w:val="20"/>
          <w:szCs w:val="20"/>
        </w:rPr>
      </w:pPr>
      <w:r w:rsidRPr="004456D7">
        <w:rPr>
          <w:rFonts w:ascii="Verdana" w:hAnsi="Verdana"/>
          <w:i w:val="0"/>
          <w:sz w:val="20"/>
          <w:szCs w:val="20"/>
        </w:rPr>
        <w:t xml:space="preserve">Indien </w:t>
      </w:r>
      <w:r>
        <w:rPr>
          <w:rFonts w:ascii="Verdana" w:hAnsi="Verdana"/>
          <w:i w:val="0"/>
          <w:sz w:val="20"/>
          <w:szCs w:val="20"/>
        </w:rPr>
        <w:t xml:space="preserve">er sprake is van </w:t>
      </w:r>
      <w:r w:rsidR="00E55EBC">
        <w:rPr>
          <w:rFonts w:ascii="Verdana" w:hAnsi="Verdana"/>
          <w:b/>
          <w:i w:val="0"/>
          <w:sz w:val="20"/>
          <w:szCs w:val="20"/>
        </w:rPr>
        <w:t>nevenbestemming in de ruimte</w:t>
      </w:r>
      <w:r w:rsidRPr="004456D7">
        <w:rPr>
          <w:rFonts w:ascii="Verdana" w:hAnsi="Verdana"/>
          <w:i w:val="0"/>
          <w:sz w:val="20"/>
          <w:szCs w:val="20"/>
        </w:rPr>
        <w:t xml:space="preserve">, </w:t>
      </w:r>
      <w:r>
        <w:rPr>
          <w:rFonts w:ascii="Verdana" w:hAnsi="Verdana"/>
          <w:i w:val="0"/>
          <w:sz w:val="20"/>
          <w:szCs w:val="20"/>
        </w:rPr>
        <w:t>wordt</w:t>
      </w:r>
      <w:r w:rsidRPr="004456D7">
        <w:rPr>
          <w:rFonts w:ascii="Verdana" w:hAnsi="Verdana"/>
          <w:i w:val="0"/>
          <w:sz w:val="20"/>
          <w:szCs w:val="20"/>
        </w:rPr>
        <w:t xml:space="preserve"> er </w:t>
      </w:r>
      <w:r>
        <w:rPr>
          <w:rFonts w:ascii="Verdana" w:hAnsi="Verdana"/>
          <w:i w:val="0"/>
          <w:sz w:val="20"/>
          <w:szCs w:val="20"/>
        </w:rPr>
        <w:t xml:space="preserve">best </w:t>
      </w:r>
      <w:r w:rsidRPr="004456D7">
        <w:rPr>
          <w:rFonts w:ascii="Verdana" w:hAnsi="Verdana"/>
          <w:i w:val="0"/>
          <w:sz w:val="20"/>
          <w:szCs w:val="20"/>
        </w:rPr>
        <w:t xml:space="preserve">met </w:t>
      </w:r>
      <w:r w:rsidRPr="004456D7">
        <w:rPr>
          <w:rFonts w:ascii="Verdana" w:hAnsi="Verdana"/>
          <w:i w:val="0"/>
          <w:sz w:val="20"/>
          <w:szCs w:val="20"/>
          <w:u w:val="single"/>
        </w:rPr>
        <w:t>compartimentering</w:t>
      </w:r>
      <w:r w:rsidRPr="004456D7">
        <w:rPr>
          <w:rFonts w:ascii="Verdana" w:hAnsi="Verdana"/>
          <w:i w:val="0"/>
          <w:sz w:val="20"/>
          <w:szCs w:val="20"/>
        </w:rPr>
        <w:t xml:space="preserve"> gewerkt. </w:t>
      </w:r>
      <w:r>
        <w:rPr>
          <w:rFonts w:ascii="Verdana" w:hAnsi="Verdana"/>
          <w:i w:val="0"/>
          <w:sz w:val="20"/>
          <w:szCs w:val="20"/>
        </w:rPr>
        <w:t xml:space="preserve">Het kerkgebouw wordt architecturaal zodanig heringericht dat er een nieuwe en kleinere liturgische ruimte ontstaat, met daarnaast ruimte voor één of meerdere lokalen die, op een permanente basis, een andere bestemming krijgen. </w:t>
      </w:r>
    </w:p>
    <w:p w:rsidR="00362B6E" w:rsidRDefault="00362B6E" w:rsidP="00362B6E">
      <w:pPr>
        <w:pStyle w:val="Plattetekst"/>
        <w:jc w:val="both"/>
        <w:rPr>
          <w:rFonts w:ascii="Verdana" w:hAnsi="Verdana"/>
          <w:i w:val="0"/>
          <w:sz w:val="20"/>
          <w:szCs w:val="20"/>
        </w:rPr>
      </w:pPr>
      <w:r w:rsidRPr="004456D7">
        <w:rPr>
          <w:rFonts w:ascii="Verdana" w:hAnsi="Verdana"/>
          <w:i w:val="0"/>
          <w:sz w:val="20"/>
          <w:szCs w:val="20"/>
        </w:rPr>
        <w:t>Wanneer de compartimentering goed wordt uitgevoerd, is er veel mogelijk.</w:t>
      </w:r>
      <w:r w:rsidRPr="004456D7">
        <w:rPr>
          <w:rFonts w:ascii="Verdana" w:hAnsi="Verdana"/>
          <w:b/>
          <w:i w:val="0"/>
          <w:sz w:val="20"/>
          <w:szCs w:val="20"/>
        </w:rPr>
        <w:t xml:space="preserve"> </w:t>
      </w:r>
      <w:r w:rsidRPr="004456D7">
        <w:rPr>
          <w:rFonts w:ascii="Verdana" w:hAnsi="Verdana"/>
          <w:i w:val="0"/>
          <w:sz w:val="20"/>
          <w:szCs w:val="20"/>
        </w:rPr>
        <w:t xml:space="preserve">Uiteraard spelen esthetische, technische en praktische aspecten een rol in de haalbaarheid. Er dient ook genoeg aandacht te gaan naar een duurzaam karakter (gebruiksgemak, ecologisch verantwoord, prijs-kwaliteitverhouding…) van een eventuele nevenbestemming. </w:t>
      </w:r>
    </w:p>
    <w:p w:rsidR="00362B6E" w:rsidRPr="004456D7" w:rsidRDefault="00362B6E" w:rsidP="00362B6E">
      <w:pPr>
        <w:pStyle w:val="Plattetekst"/>
        <w:jc w:val="both"/>
        <w:rPr>
          <w:rFonts w:ascii="Verdana" w:hAnsi="Verdana"/>
          <w:i w:val="0"/>
          <w:sz w:val="20"/>
          <w:szCs w:val="20"/>
        </w:rPr>
      </w:pPr>
    </w:p>
    <w:p w:rsidR="00362B6E" w:rsidRDefault="00362B6E" w:rsidP="00362B6E">
      <w:pPr>
        <w:pStyle w:val="Plattetekst"/>
        <w:jc w:val="both"/>
        <w:rPr>
          <w:rFonts w:ascii="Verdana" w:hAnsi="Verdana"/>
          <w:i w:val="0"/>
          <w:sz w:val="20"/>
          <w:szCs w:val="20"/>
        </w:rPr>
      </w:pPr>
      <w:r w:rsidRPr="004456D7">
        <w:rPr>
          <w:rFonts w:ascii="Verdana" w:hAnsi="Verdana"/>
          <w:i w:val="0"/>
          <w:sz w:val="20"/>
          <w:szCs w:val="20"/>
        </w:rPr>
        <w:t xml:space="preserve">Het is aangewezen om een goede </w:t>
      </w:r>
      <w:r w:rsidRPr="009A1381">
        <w:rPr>
          <w:rFonts w:ascii="Verdana" w:hAnsi="Verdana"/>
          <w:i w:val="0"/>
          <w:sz w:val="20"/>
          <w:szCs w:val="20"/>
          <w:u w:val="single"/>
        </w:rPr>
        <w:t>gebruiksovereenkomst</w:t>
      </w:r>
      <w:r w:rsidRPr="004456D7">
        <w:rPr>
          <w:rFonts w:ascii="Verdana" w:hAnsi="Verdana"/>
          <w:i w:val="0"/>
          <w:sz w:val="20"/>
          <w:szCs w:val="20"/>
        </w:rPr>
        <w:t xml:space="preserve"> </w:t>
      </w:r>
      <w:r>
        <w:rPr>
          <w:rFonts w:ascii="Verdana" w:hAnsi="Verdana"/>
          <w:i w:val="0"/>
          <w:sz w:val="20"/>
          <w:szCs w:val="20"/>
        </w:rPr>
        <w:t xml:space="preserve">(praktische en financiële afspraken) </w:t>
      </w:r>
      <w:r w:rsidRPr="004456D7">
        <w:rPr>
          <w:rFonts w:ascii="Verdana" w:hAnsi="Verdana"/>
          <w:i w:val="0"/>
          <w:sz w:val="20"/>
          <w:szCs w:val="20"/>
        </w:rPr>
        <w:t xml:space="preserve">af te sluiten omtrent </w:t>
      </w:r>
      <w:r>
        <w:rPr>
          <w:rFonts w:ascii="Verdana" w:hAnsi="Verdana"/>
          <w:i w:val="0"/>
          <w:sz w:val="20"/>
          <w:szCs w:val="20"/>
        </w:rPr>
        <w:t>het</w:t>
      </w:r>
      <w:r w:rsidRPr="004456D7">
        <w:rPr>
          <w:rFonts w:ascii="Verdana" w:hAnsi="Verdana"/>
          <w:i w:val="0"/>
          <w:sz w:val="20"/>
          <w:szCs w:val="20"/>
        </w:rPr>
        <w:t xml:space="preserve"> gebruik naast de functie van eredienst. </w:t>
      </w:r>
      <w:r>
        <w:rPr>
          <w:rFonts w:ascii="Verdana" w:hAnsi="Verdana"/>
          <w:i w:val="0"/>
          <w:sz w:val="20"/>
          <w:szCs w:val="20"/>
        </w:rPr>
        <w:t xml:space="preserve">In deze gebruiksovereenkomst worden een aantal afspraken vastgelegd: </w:t>
      </w:r>
    </w:p>
    <w:p w:rsidR="00362B6E" w:rsidRDefault="00362B6E" w:rsidP="00362B6E">
      <w:pPr>
        <w:pStyle w:val="Plattetekst"/>
        <w:numPr>
          <w:ilvl w:val="0"/>
          <w:numId w:val="1"/>
        </w:numPr>
        <w:jc w:val="both"/>
        <w:rPr>
          <w:rFonts w:ascii="Verdana" w:hAnsi="Verdana"/>
          <w:i w:val="0"/>
          <w:sz w:val="20"/>
          <w:szCs w:val="20"/>
        </w:rPr>
      </w:pPr>
      <w:r>
        <w:rPr>
          <w:rFonts w:ascii="Verdana" w:hAnsi="Verdana"/>
          <w:i w:val="0"/>
          <w:sz w:val="20"/>
          <w:szCs w:val="20"/>
        </w:rPr>
        <w:t>omschrijving van de ruimte die voor medegebruik of een nevenbestemming ter beschikking wordt gesteld</w:t>
      </w:r>
    </w:p>
    <w:p w:rsidR="00362B6E" w:rsidRDefault="00362B6E" w:rsidP="00362B6E">
      <w:pPr>
        <w:pStyle w:val="Plattetekst"/>
        <w:numPr>
          <w:ilvl w:val="0"/>
          <w:numId w:val="1"/>
        </w:numPr>
        <w:jc w:val="both"/>
        <w:rPr>
          <w:rFonts w:ascii="Verdana" w:hAnsi="Verdana"/>
          <w:i w:val="0"/>
          <w:sz w:val="20"/>
          <w:szCs w:val="20"/>
        </w:rPr>
      </w:pPr>
      <w:r>
        <w:rPr>
          <w:rFonts w:ascii="Verdana" w:hAnsi="Verdana"/>
          <w:i w:val="0"/>
          <w:sz w:val="20"/>
          <w:szCs w:val="20"/>
        </w:rPr>
        <w:t xml:space="preserve">afspraken in verband met </w:t>
      </w:r>
    </w:p>
    <w:p w:rsidR="00362B6E" w:rsidRDefault="00362B6E" w:rsidP="00362B6E">
      <w:pPr>
        <w:pStyle w:val="Plattetekst"/>
        <w:numPr>
          <w:ilvl w:val="1"/>
          <w:numId w:val="1"/>
        </w:numPr>
        <w:jc w:val="both"/>
        <w:rPr>
          <w:rFonts w:ascii="Verdana" w:hAnsi="Verdana"/>
          <w:i w:val="0"/>
          <w:sz w:val="20"/>
          <w:szCs w:val="20"/>
        </w:rPr>
      </w:pPr>
      <w:r>
        <w:rPr>
          <w:rFonts w:ascii="Verdana" w:hAnsi="Verdana"/>
          <w:i w:val="0"/>
          <w:sz w:val="20"/>
          <w:szCs w:val="20"/>
        </w:rPr>
        <w:t>gebruik van de ruimte</w:t>
      </w:r>
    </w:p>
    <w:p w:rsidR="00362B6E" w:rsidRDefault="00362B6E" w:rsidP="00362B6E">
      <w:pPr>
        <w:pStyle w:val="Plattetekst"/>
        <w:numPr>
          <w:ilvl w:val="1"/>
          <w:numId w:val="1"/>
        </w:numPr>
        <w:jc w:val="both"/>
        <w:rPr>
          <w:rFonts w:ascii="Verdana" w:hAnsi="Verdana"/>
          <w:i w:val="0"/>
          <w:sz w:val="20"/>
          <w:szCs w:val="20"/>
        </w:rPr>
      </w:pPr>
      <w:r>
        <w:rPr>
          <w:rFonts w:ascii="Verdana" w:hAnsi="Verdana"/>
          <w:i w:val="0"/>
          <w:sz w:val="20"/>
          <w:szCs w:val="20"/>
        </w:rPr>
        <w:t>meubilair</w:t>
      </w:r>
    </w:p>
    <w:p w:rsidR="00362B6E" w:rsidRDefault="00362B6E" w:rsidP="00362B6E">
      <w:pPr>
        <w:pStyle w:val="Plattetekst"/>
        <w:numPr>
          <w:ilvl w:val="1"/>
          <w:numId w:val="1"/>
        </w:numPr>
        <w:jc w:val="both"/>
        <w:rPr>
          <w:rFonts w:ascii="Verdana" w:hAnsi="Verdana"/>
          <w:i w:val="0"/>
          <w:sz w:val="20"/>
          <w:szCs w:val="20"/>
        </w:rPr>
      </w:pPr>
      <w:r>
        <w:rPr>
          <w:rFonts w:ascii="Verdana" w:hAnsi="Verdana"/>
          <w:i w:val="0"/>
          <w:sz w:val="20"/>
          <w:szCs w:val="20"/>
        </w:rPr>
        <w:t>schoonmaak</w:t>
      </w:r>
    </w:p>
    <w:p w:rsidR="00362B6E" w:rsidRDefault="00362B6E" w:rsidP="00362B6E">
      <w:pPr>
        <w:pStyle w:val="Plattetekst"/>
        <w:numPr>
          <w:ilvl w:val="1"/>
          <w:numId w:val="1"/>
        </w:numPr>
        <w:jc w:val="both"/>
        <w:rPr>
          <w:rFonts w:ascii="Verdana" w:hAnsi="Verdana"/>
          <w:i w:val="0"/>
          <w:sz w:val="20"/>
          <w:szCs w:val="20"/>
        </w:rPr>
      </w:pPr>
      <w:r>
        <w:rPr>
          <w:rFonts w:ascii="Verdana" w:hAnsi="Verdana"/>
          <w:i w:val="0"/>
          <w:sz w:val="20"/>
          <w:szCs w:val="20"/>
        </w:rPr>
        <w:t>veiligheid</w:t>
      </w:r>
    </w:p>
    <w:p w:rsidR="00362B6E" w:rsidRDefault="00362B6E" w:rsidP="00362B6E">
      <w:pPr>
        <w:pStyle w:val="Plattetekst"/>
        <w:numPr>
          <w:ilvl w:val="1"/>
          <w:numId w:val="1"/>
        </w:numPr>
        <w:jc w:val="both"/>
        <w:rPr>
          <w:rFonts w:ascii="Verdana" w:hAnsi="Verdana"/>
          <w:i w:val="0"/>
          <w:sz w:val="20"/>
          <w:szCs w:val="20"/>
        </w:rPr>
      </w:pPr>
      <w:r>
        <w:rPr>
          <w:rFonts w:ascii="Verdana" w:hAnsi="Verdana"/>
          <w:i w:val="0"/>
          <w:sz w:val="20"/>
          <w:szCs w:val="20"/>
        </w:rPr>
        <w:t>uren van gebruik</w:t>
      </w:r>
    </w:p>
    <w:p w:rsidR="00362B6E" w:rsidRDefault="00362B6E" w:rsidP="00362B6E">
      <w:pPr>
        <w:pStyle w:val="Plattetekst"/>
        <w:numPr>
          <w:ilvl w:val="0"/>
          <w:numId w:val="1"/>
        </w:numPr>
        <w:jc w:val="both"/>
        <w:rPr>
          <w:rFonts w:ascii="Verdana" w:hAnsi="Verdana"/>
          <w:i w:val="0"/>
          <w:sz w:val="20"/>
          <w:szCs w:val="20"/>
        </w:rPr>
      </w:pPr>
      <w:r>
        <w:rPr>
          <w:rFonts w:ascii="Verdana" w:hAnsi="Verdana"/>
          <w:i w:val="0"/>
          <w:sz w:val="20"/>
          <w:szCs w:val="20"/>
        </w:rPr>
        <w:t>afspraken om de rust en de stilte tijdens de liturgische diensten te verzekeren</w:t>
      </w:r>
    </w:p>
    <w:p w:rsidR="00362B6E" w:rsidRDefault="00362B6E" w:rsidP="00362B6E">
      <w:pPr>
        <w:pStyle w:val="Plattetekst"/>
        <w:numPr>
          <w:ilvl w:val="0"/>
          <w:numId w:val="1"/>
        </w:numPr>
        <w:jc w:val="both"/>
        <w:rPr>
          <w:rFonts w:ascii="Verdana" w:hAnsi="Verdana"/>
          <w:i w:val="0"/>
          <w:sz w:val="20"/>
          <w:szCs w:val="20"/>
        </w:rPr>
      </w:pPr>
      <w:r>
        <w:rPr>
          <w:rFonts w:ascii="Verdana" w:hAnsi="Verdana"/>
          <w:i w:val="0"/>
          <w:sz w:val="20"/>
          <w:szCs w:val="20"/>
        </w:rPr>
        <w:t>regeling voor deelname aan in de kosten van het kerkgebouw</w:t>
      </w:r>
    </w:p>
    <w:p w:rsidR="00362B6E" w:rsidRDefault="00362B6E" w:rsidP="00362B6E">
      <w:pPr>
        <w:pStyle w:val="Plattetekst"/>
        <w:numPr>
          <w:ilvl w:val="0"/>
          <w:numId w:val="1"/>
        </w:numPr>
        <w:jc w:val="both"/>
        <w:rPr>
          <w:rFonts w:ascii="Verdana" w:hAnsi="Verdana"/>
          <w:i w:val="0"/>
          <w:sz w:val="20"/>
          <w:szCs w:val="20"/>
        </w:rPr>
      </w:pPr>
      <w:r>
        <w:rPr>
          <w:rFonts w:ascii="Verdana" w:hAnsi="Verdana"/>
          <w:i w:val="0"/>
          <w:sz w:val="20"/>
          <w:szCs w:val="20"/>
        </w:rPr>
        <w:t>regeling van aansprakelijkheid in geval van schade en de verzekering</w:t>
      </w:r>
    </w:p>
    <w:p w:rsidR="00362B6E" w:rsidRDefault="00362B6E" w:rsidP="00362B6E">
      <w:pPr>
        <w:pStyle w:val="Plattetekst"/>
        <w:numPr>
          <w:ilvl w:val="0"/>
          <w:numId w:val="1"/>
        </w:numPr>
        <w:jc w:val="both"/>
        <w:rPr>
          <w:rFonts w:ascii="Verdana" w:hAnsi="Verdana"/>
          <w:i w:val="0"/>
          <w:sz w:val="20"/>
          <w:szCs w:val="20"/>
        </w:rPr>
      </w:pPr>
      <w:r>
        <w:rPr>
          <w:rFonts w:ascii="Verdana" w:hAnsi="Verdana"/>
          <w:i w:val="0"/>
          <w:sz w:val="20"/>
          <w:szCs w:val="20"/>
        </w:rPr>
        <w:t>aanduiding van de instantie die bemiddelt of beslist in geval van betwisting</w:t>
      </w:r>
    </w:p>
    <w:p w:rsidR="00362B6E" w:rsidRDefault="00362B6E" w:rsidP="00362B6E">
      <w:pPr>
        <w:pStyle w:val="Plattetekst"/>
        <w:jc w:val="both"/>
        <w:rPr>
          <w:rFonts w:ascii="Verdana" w:hAnsi="Verdana"/>
          <w:i w:val="0"/>
          <w:sz w:val="20"/>
          <w:szCs w:val="20"/>
        </w:rPr>
      </w:pPr>
    </w:p>
    <w:p w:rsidR="00362B6E" w:rsidRPr="004456D7" w:rsidRDefault="00362B6E" w:rsidP="00362B6E">
      <w:pPr>
        <w:pStyle w:val="Plattetekst"/>
        <w:jc w:val="both"/>
        <w:rPr>
          <w:rFonts w:ascii="Verdana" w:hAnsi="Verdana"/>
          <w:i w:val="0"/>
          <w:sz w:val="20"/>
          <w:szCs w:val="20"/>
        </w:rPr>
      </w:pPr>
      <w:r>
        <w:rPr>
          <w:rFonts w:ascii="Verdana" w:hAnsi="Verdana"/>
          <w:i w:val="0"/>
          <w:sz w:val="20"/>
          <w:szCs w:val="20"/>
        </w:rPr>
        <w:t xml:space="preserve">Om geldig te zijn, behoeft deze overeenkomst de handtekening van de pastoor en van de bisschop. </w:t>
      </w:r>
      <w:r w:rsidRPr="004456D7">
        <w:rPr>
          <w:rFonts w:ascii="Verdana" w:hAnsi="Verdana"/>
          <w:i w:val="0"/>
          <w:sz w:val="20"/>
          <w:szCs w:val="20"/>
        </w:rPr>
        <w:t xml:space="preserve">Een model kan verkregen worden bij de dienst kerkfabrieken. </w:t>
      </w:r>
    </w:p>
    <w:p w:rsidR="00362B6E" w:rsidRDefault="00362B6E" w:rsidP="00362B6E">
      <w:pPr>
        <w:pStyle w:val="Plattetekst"/>
        <w:jc w:val="both"/>
        <w:rPr>
          <w:rFonts w:ascii="Verdana" w:hAnsi="Verdana"/>
          <w:i w:val="0"/>
          <w:sz w:val="20"/>
          <w:szCs w:val="20"/>
        </w:rPr>
      </w:pPr>
    </w:p>
    <w:p w:rsidR="00362B6E" w:rsidRDefault="00362B6E" w:rsidP="00362B6E">
      <w:pPr>
        <w:pStyle w:val="Plattetekst"/>
        <w:jc w:val="both"/>
        <w:rPr>
          <w:rFonts w:ascii="Verdana" w:hAnsi="Verdana"/>
          <w:i w:val="0"/>
          <w:sz w:val="20"/>
          <w:szCs w:val="20"/>
        </w:rPr>
      </w:pPr>
      <w:r>
        <w:rPr>
          <w:rFonts w:ascii="Verdana" w:hAnsi="Verdana"/>
          <w:i w:val="0"/>
          <w:sz w:val="20"/>
          <w:szCs w:val="20"/>
        </w:rPr>
        <w:t>In principe wordt er niets gewijzigd aan de inrichting van de centrale liturgische ruimte (plaats van altaar, doopvont, lezenaar, zetel van de voorganger,…). Een vraag tot uitzonderlijke wijziging wordt met de pastoor en met het kerkbestuur besproken en in de gebruiksovereenkomst opgenomen. Bij initiatieven die het moeilijk maken om het Heilig Sacrament op een gepaste wijze te begroeten, wordt het Heilig Sacrament tijdelijk naar een kapel of naar de sacristie overgebracht.</w:t>
      </w:r>
    </w:p>
    <w:p w:rsidR="00362B6E" w:rsidRDefault="00362B6E" w:rsidP="00362B6E">
      <w:pPr>
        <w:pStyle w:val="Plattetekst"/>
        <w:jc w:val="both"/>
        <w:rPr>
          <w:rFonts w:ascii="Verdana" w:hAnsi="Verdana"/>
          <w:i w:val="0"/>
          <w:sz w:val="20"/>
          <w:szCs w:val="20"/>
        </w:rPr>
      </w:pPr>
    </w:p>
    <w:p w:rsidR="00362B6E" w:rsidRDefault="00362B6E" w:rsidP="00362B6E">
      <w:pPr>
        <w:pStyle w:val="Plattetekst"/>
        <w:jc w:val="both"/>
        <w:rPr>
          <w:rFonts w:ascii="Verdana" w:hAnsi="Verdana"/>
          <w:i w:val="0"/>
          <w:sz w:val="20"/>
          <w:szCs w:val="20"/>
        </w:rPr>
      </w:pPr>
      <w:r>
        <w:rPr>
          <w:rFonts w:ascii="Verdana" w:hAnsi="Verdana"/>
          <w:i w:val="0"/>
          <w:sz w:val="20"/>
          <w:szCs w:val="20"/>
        </w:rPr>
        <w:t xml:space="preserve">De kerkrechtelijke en burgerrechtelijke bevoegdheden van de pastoor over de parochiekerk blijven gelden, met inachtneming van wat in de gebruiksovereenkomst hierover is bepaald. </w:t>
      </w:r>
    </w:p>
    <w:p w:rsidR="00362B6E" w:rsidRDefault="00362B6E"/>
    <w:p w:rsidR="00362B6E" w:rsidRPr="001C2B96" w:rsidRDefault="00362B6E" w:rsidP="00362B6E">
      <w:pPr>
        <w:pStyle w:val="Plattetekst"/>
        <w:jc w:val="both"/>
        <w:rPr>
          <w:rFonts w:ascii="Verdana" w:hAnsi="Verdana"/>
          <w:b/>
          <w:i w:val="0"/>
          <w:sz w:val="20"/>
          <w:szCs w:val="20"/>
        </w:rPr>
      </w:pPr>
      <w:r w:rsidRPr="001C2B96">
        <w:rPr>
          <w:rFonts w:ascii="Verdana" w:hAnsi="Verdana"/>
          <w:b/>
          <w:i w:val="0"/>
          <w:sz w:val="20"/>
          <w:szCs w:val="20"/>
        </w:rPr>
        <w:t>Bijzondere aandachtspunten bij nevenbestemming</w:t>
      </w:r>
    </w:p>
    <w:p w:rsidR="00362B6E" w:rsidRPr="004456D7" w:rsidRDefault="00362B6E" w:rsidP="00362B6E">
      <w:pPr>
        <w:pStyle w:val="Plattetekst"/>
        <w:jc w:val="both"/>
        <w:rPr>
          <w:rFonts w:ascii="Verdana" w:hAnsi="Verdana"/>
          <w:i w:val="0"/>
          <w:sz w:val="20"/>
          <w:szCs w:val="20"/>
        </w:rPr>
      </w:pPr>
    </w:p>
    <w:p w:rsidR="00362B6E" w:rsidRDefault="00362B6E" w:rsidP="00362B6E">
      <w:pPr>
        <w:pStyle w:val="Plattetekst"/>
        <w:jc w:val="both"/>
        <w:rPr>
          <w:rFonts w:ascii="Verdana" w:hAnsi="Verdana"/>
          <w:i w:val="0"/>
          <w:sz w:val="20"/>
          <w:szCs w:val="20"/>
        </w:rPr>
      </w:pPr>
      <w:r>
        <w:rPr>
          <w:noProof/>
          <w:lang w:eastAsia="nl-BE"/>
        </w:rPr>
        <w:drawing>
          <wp:anchor distT="0" distB="0" distL="114300" distR="114300" simplePos="0" relativeHeight="251661312" behindDoc="1" locked="0" layoutInCell="1" allowOverlap="1" wp14:anchorId="66BF3AF2" wp14:editId="51453A04">
            <wp:simplePos x="0" y="0"/>
            <wp:positionH relativeFrom="column">
              <wp:posOffset>-535305</wp:posOffset>
            </wp:positionH>
            <wp:positionV relativeFrom="paragraph">
              <wp:posOffset>20955</wp:posOffset>
            </wp:positionV>
            <wp:extent cx="314325" cy="250190"/>
            <wp:effectExtent l="0" t="0" r="9525" b="0"/>
            <wp:wrapTight wrapText="bothSides">
              <wp:wrapPolygon edited="0">
                <wp:start x="6545" y="0"/>
                <wp:lineTo x="0" y="14802"/>
                <wp:lineTo x="0" y="19736"/>
                <wp:lineTo x="20945" y="19736"/>
                <wp:lineTo x="20945" y="16447"/>
                <wp:lineTo x="13091" y="0"/>
                <wp:lineTo x="6545" y="0"/>
              </wp:wrapPolygon>
            </wp:wrapTight>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250190"/>
                    </a:xfrm>
                    <a:prstGeom prst="rect">
                      <a:avLst/>
                    </a:prstGeom>
                    <a:noFill/>
                  </pic:spPr>
                </pic:pic>
              </a:graphicData>
            </a:graphic>
            <wp14:sizeRelH relativeFrom="page">
              <wp14:pctWidth>0</wp14:pctWidth>
            </wp14:sizeRelH>
            <wp14:sizeRelV relativeFrom="page">
              <wp14:pctHeight>0</wp14:pctHeight>
            </wp14:sizeRelV>
          </wp:anchor>
        </w:drawing>
      </w:r>
      <w:r w:rsidRPr="004456D7">
        <w:rPr>
          <w:rFonts w:ascii="Verdana" w:hAnsi="Verdana"/>
          <w:i w:val="0"/>
          <w:sz w:val="20"/>
          <w:szCs w:val="20"/>
        </w:rPr>
        <w:t xml:space="preserve">Bij </w:t>
      </w:r>
      <w:r w:rsidRPr="004456D7">
        <w:rPr>
          <w:rFonts w:ascii="Verdana" w:hAnsi="Verdana"/>
          <w:i w:val="0"/>
          <w:sz w:val="20"/>
          <w:szCs w:val="20"/>
          <w:u w:val="single"/>
        </w:rPr>
        <w:t>ingrepen in het kerkinterieur</w:t>
      </w:r>
      <w:r w:rsidRPr="004456D7">
        <w:rPr>
          <w:rFonts w:ascii="Verdana" w:hAnsi="Verdana"/>
          <w:i w:val="0"/>
          <w:sz w:val="20"/>
          <w:szCs w:val="20"/>
        </w:rPr>
        <w:t xml:space="preserve"> (altaar, priesterkoor, verlichting en dergelijke) is een voorafgaandelijke schriftelijke goedkeuring van de </w:t>
      </w:r>
      <w:r w:rsidRPr="001C2B96">
        <w:rPr>
          <w:rFonts w:ascii="Verdana" w:hAnsi="Verdana"/>
          <w:sz w:val="20"/>
          <w:szCs w:val="20"/>
        </w:rPr>
        <w:t>Commissie voor Kerkelijk Patrimonium (CKP</w:t>
      </w:r>
      <w:r w:rsidR="00E55EBC">
        <w:rPr>
          <w:rFonts w:ascii="Verdana" w:hAnsi="Verdana"/>
          <w:sz w:val="20"/>
          <w:szCs w:val="20"/>
        </w:rPr>
        <w:t xml:space="preserve">) </w:t>
      </w:r>
      <w:r w:rsidRPr="004456D7">
        <w:rPr>
          <w:rFonts w:ascii="Verdana" w:hAnsi="Verdana"/>
          <w:i w:val="0"/>
          <w:sz w:val="20"/>
          <w:szCs w:val="20"/>
        </w:rPr>
        <w:t xml:space="preserve">noodzakelijk. De CKP zal het dossier verder opvolgen. Men kan op de </w:t>
      </w:r>
      <w:r w:rsidR="00E55EBC">
        <w:rPr>
          <w:rFonts w:ascii="Verdana" w:hAnsi="Verdana"/>
          <w:i w:val="0"/>
          <w:sz w:val="20"/>
          <w:szCs w:val="20"/>
        </w:rPr>
        <w:t>commissie</w:t>
      </w:r>
      <w:r w:rsidRPr="004456D7">
        <w:rPr>
          <w:rFonts w:ascii="Verdana" w:hAnsi="Verdana"/>
          <w:i w:val="0"/>
          <w:sz w:val="20"/>
          <w:szCs w:val="20"/>
        </w:rPr>
        <w:t xml:space="preserve"> beroep doen voor technische informatie, informatie over licht en geluid, voor het advies van een architect of ontwerper, … </w:t>
      </w:r>
    </w:p>
    <w:p w:rsidR="00E55EBC" w:rsidRPr="004456D7" w:rsidRDefault="00E55EBC" w:rsidP="00362B6E">
      <w:pPr>
        <w:pStyle w:val="Plattetekst"/>
        <w:jc w:val="both"/>
        <w:rPr>
          <w:rFonts w:ascii="Verdana" w:hAnsi="Verdana"/>
          <w:b/>
          <w:i w:val="0"/>
          <w:sz w:val="20"/>
          <w:szCs w:val="20"/>
        </w:rPr>
      </w:pPr>
    </w:p>
    <w:p w:rsidR="00362B6E" w:rsidRPr="004456D7" w:rsidRDefault="00362B6E" w:rsidP="00362B6E">
      <w:pPr>
        <w:pStyle w:val="Plattetekst"/>
        <w:jc w:val="both"/>
        <w:rPr>
          <w:rFonts w:ascii="Verdana" w:hAnsi="Verdana"/>
          <w:i w:val="0"/>
          <w:sz w:val="20"/>
          <w:szCs w:val="20"/>
        </w:rPr>
      </w:pPr>
      <w:r>
        <w:rPr>
          <w:noProof/>
          <w:lang w:eastAsia="nl-BE"/>
        </w:rPr>
        <w:drawing>
          <wp:anchor distT="0" distB="0" distL="114300" distR="114300" simplePos="0" relativeHeight="251659264" behindDoc="1" locked="0" layoutInCell="1" allowOverlap="1" wp14:anchorId="25BFDE27" wp14:editId="4CBA33D1">
            <wp:simplePos x="0" y="0"/>
            <wp:positionH relativeFrom="column">
              <wp:posOffset>-532130</wp:posOffset>
            </wp:positionH>
            <wp:positionV relativeFrom="paragraph">
              <wp:posOffset>-63500</wp:posOffset>
            </wp:positionV>
            <wp:extent cx="314325" cy="250190"/>
            <wp:effectExtent l="0" t="0" r="9525" b="0"/>
            <wp:wrapTight wrapText="bothSides">
              <wp:wrapPolygon edited="0">
                <wp:start x="6545" y="0"/>
                <wp:lineTo x="0" y="14802"/>
                <wp:lineTo x="0" y="19736"/>
                <wp:lineTo x="20945" y="19736"/>
                <wp:lineTo x="20945" y="16447"/>
                <wp:lineTo x="13091" y="0"/>
                <wp:lineTo x="6545" y="0"/>
              </wp:wrapPolygon>
            </wp:wrapTight>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250190"/>
                    </a:xfrm>
                    <a:prstGeom prst="rect">
                      <a:avLst/>
                    </a:prstGeom>
                    <a:noFill/>
                  </pic:spPr>
                </pic:pic>
              </a:graphicData>
            </a:graphic>
            <wp14:sizeRelH relativeFrom="page">
              <wp14:pctWidth>0</wp14:pctWidth>
            </wp14:sizeRelH>
            <wp14:sizeRelV relativeFrom="page">
              <wp14:pctHeight>0</wp14:pctHeight>
            </wp14:sizeRelV>
          </wp:anchor>
        </w:drawing>
      </w:r>
      <w:r w:rsidRPr="004456D7">
        <w:rPr>
          <w:rFonts w:ascii="Verdana" w:hAnsi="Verdana"/>
          <w:i w:val="0"/>
          <w:sz w:val="20"/>
          <w:szCs w:val="20"/>
        </w:rPr>
        <w:t xml:space="preserve">Op de </w:t>
      </w:r>
      <w:r w:rsidRPr="004456D7">
        <w:rPr>
          <w:rFonts w:ascii="Verdana" w:hAnsi="Verdana"/>
          <w:i w:val="0"/>
          <w:sz w:val="20"/>
          <w:szCs w:val="20"/>
          <w:u w:val="single"/>
        </w:rPr>
        <w:t xml:space="preserve">website van </w:t>
      </w:r>
      <w:proofErr w:type="spellStart"/>
      <w:r w:rsidR="00E55EBC">
        <w:rPr>
          <w:rFonts w:ascii="Verdana" w:hAnsi="Verdana"/>
          <w:i w:val="0"/>
          <w:sz w:val="20"/>
          <w:szCs w:val="20"/>
          <w:u w:val="single"/>
        </w:rPr>
        <w:t>Parcum</w:t>
      </w:r>
      <w:proofErr w:type="spellEnd"/>
      <w:r w:rsidRPr="004456D7">
        <w:rPr>
          <w:rFonts w:ascii="Verdana" w:hAnsi="Verdana"/>
          <w:i w:val="0"/>
          <w:sz w:val="20"/>
          <w:szCs w:val="20"/>
        </w:rPr>
        <w:t xml:space="preserve"> worden enkele denkpistes voor nevenbestemming gesuggereerd. </w:t>
      </w:r>
    </w:p>
    <w:p w:rsidR="00362B6E" w:rsidRPr="004456D7" w:rsidRDefault="00362B6E" w:rsidP="00362B6E">
      <w:pPr>
        <w:pStyle w:val="Plattetekst"/>
        <w:jc w:val="both"/>
        <w:rPr>
          <w:rFonts w:ascii="Verdana" w:hAnsi="Verdana"/>
          <w:i w:val="0"/>
          <w:sz w:val="20"/>
          <w:szCs w:val="20"/>
        </w:rPr>
      </w:pPr>
    </w:p>
    <w:p w:rsidR="00362B6E" w:rsidRDefault="00362B6E" w:rsidP="00362B6E">
      <w:pPr>
        <w:pStyle w:val="Plattetekst"/>
        <w:jc w:val="both"/>
        <w:rPr>
          <w:rFonts w:ascii="Verdana" w:hAnsi="Verdana"/>
          <w:i w:val="0"/>
          <w:sz w:val="20"/>
          <w:szCs w:val="20"/>
        </w:rPr>
      </w:pPr>
      <w:r>
        <w:rPr>
          <w:noProof/>
          <w:lang w:eastAsia="nl-BE"/>
        </w:rPr>
        <w:drawing>
          <wp:anchor distT="0" distB="0" distL="114300" distR="114300" simplePos="0" relativeHeight="251660288" behindDoc="1" locked="0" layoutInCell="1" allowOverlap="1" wp14:anchorId="533D31B4" wp14:editId="6DA89F1A">
            <wp:simplePos x="0" y="0"/>
            <wp:positionH relativeFrom="column">
              <wp:posOffset>-532130</wp:posOffset>
            </wp:positionH>
            <wp:positionV relativeFrom="paragraph">
              <wp:posOffset>27940</wp:posOffset>
            </wp:positionV>
            <wp:extent cx="314325" cy="250190"/>
            <wp:effectExtent l="0" t="0" r="9525" b="0"/>
            <wp:wrapTight wrapText="bothSides">
              <wp:wrapPolygon edited="0">
                <wp:start x="6545" y="0"/>
                <wp:lineTo x="0" y="14802"/>
                <wp:lineTo x="0" y="19736"/>
                <wp:lineTo x="20945" y="19736"/>
                <wp:lineTo x="20945" y="16447"/>
                <wp:lineTo x="13091" y="0"/>
                <wp:lineTo x="6545" y="0"/>
              </wp:wrapPolygon>
            </wp:wrapTight>
            <wp:docPr id="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250190"/>
                    </a:xfrm>
                    <a:prstGeom prst="rect">
                      <a:avLst/>
                    </a:prstGeom>
                    <a:noFill/>
                  </pic:spPr>
                </pic:pic>
              </a:graphicData>
            </a:graphic>
            <wp14:sizeRelH relativeFrom="page">
              <wp14:pctWidth>0</wp14:pctWidth>
            </wp14:sizeRelH>
            <wp14:sizeRelV relativeFrom="page">
              <wp14:pctHeight>0</wp14:pctHeight>
            </wp14:sizeRelV>
          </wp:anchor>
        </w:drawing>
      </w:r>
      <w:r w:rsidRPr="004456D7">
        <w:rPr>
          <w:rFonts w:ascii="Verdana" w:hAnsi="Verdana"/>
          <w:i w:val="0"/>
          <w:sz w:val="20"/>
          <w:szCs w:val="20"/>
        </w:rPr>
        <w:t xml:space="preserve">Voor </w:t>
      </w:r>
      <w:r w:rsidRPr="004456D7">
        <w:rPr>
          <w:rFonts w:ascii="Verdana" w:hAnsi="Verdana"/>
          <w:i w:val="0"/>
          <w:sz w:val="20"/>
          <w:szCs w:val="20"/>
          <w:u w:val="single"/>
        </w:rPr>
        <w:t>beschermde kerkgebouwen</w:t>
      </w:r>
      <w:r w:rsidRPr="004456D7">
        <w:rPr>
          <w:rFonts w:ascii="Verdana" w:hAnsi="Verdana"/>
          <w:i w:val="0"/>
          <w:sz w:val="20"/>
          <w:szCs w:val="20"/>
        </w:rPr>
        <w:t xml:space="preserve"> moet uiteraard ook rekening gehouden worden met de regels voor monumenten en erfgoed. </w:t>
      </w:r>
    </w:p>
    <w:p w:rsidR="00E55EBC" w:rsidRPr="004456D7" w:rsidRDefault="00E55EBC" w:rsidP="00362B6E">
      <w:pPr>
        <w:pStyle w:val="Plattetekst"/>
        <w:jc w:val="both"/>
        <w:rPr>
          <w:rFonts w:ascii="Verdana" w:hAnsi="Verdana"/>
          <w:i w:val="0"/>
          <w:sz w:val="20"/>
          <w:szCs w:val="20"/>
        </w:rPr>
      </w:pPr>
    </w:p>
    <w:p w:rsidR="00C61FE8" w:rsidRPr="00C61FE8" w:rsidRDefault="00C61FE8" w:rsidP="00C61FE8">
      <w:pPr>
        <w:jc w:val="center"/>
        <w:rPr>
          <w:b/>
          <w:sz w:val="24"/>
          <w:szCs w:val="24"/>
        </w:rPr>
      </w:pPr>
      <w:r w:rsidRPr="00AA3147">
        <w:rPr>
          <w:b/>
          <w:sz w:val="24"/>
          <w:szCs w:val="24"/>
        </w:rPr>
        <w:lastRenderedPageBreak/>
        <w:t xml:space="preserve">OPDRACHT  EN  DOELSTELLING  </w:t>
      </w:r>
      <w:r>
        <w:rPr>
          <w:b/>
          <w:sz w:val="24"/>
          <w:szCs w:val="24"/>
        </w:rPr>
        <w:t>COMMISSIE KERKELIJK PATRIMONIUM (CKP)</w:t>
      </w:r>
    </w:p>
    <w:p w:rsidR="00C61FE8" w:rsidRDefault="00C61FE8" w:rsidP="00C61FE8">
      <w:pPr>
        <w:jc w:val="both"/>
      </w:pPr>
      <w:r>
        <w:t>Het Wetboek van Canoniek Recht (1983) verleent de bisschop expliciete bevoegdheden in het beheer van de kerkelijke goederen.  Voor het kerkelijk onroerend en roerend patrimonium in zoverre dat voor de eredienst wordt aangewend, beschikt hij over het beslissingsrecht bij de bouw (</w:t>
      </w:r>
      <w:proofErr w:type="spellStart"/>
      <w:r>
        <w:t>can</w:t>
      </w:r>
      <w:proofErr w:type="spellEnd"/>
      <w:r>
        <w:t xml:space="preserve">. 1215) en de </w:t>
      </w:r>
      <w:proofErr w:type="spellStart"/>
      <w:r>
        <w:t>desaffectatie</w:t>
      </w:r>
      <w:proofErr w:type="spellEnd"/>
      <w:r>
        <w:t xml:space="preserve"> (</w:t>
      </w:r>
      <w:proofErr w:type="spellStart"/>
      <w:r>
        <w:t>can</w:t>
      </w:r>
      <w:proofErr w:type="spellEnd"/>
      <w:r>
        <w:t>. 1222) van kerken, en bij de restauratie van kostbaar roerend erfgoed (</w:t>
      </w:r>
      <w:proofErr w:type="spellStart"/>
      <w:r>
        <w:t>can</w:t>
      </w:r>
      <w:proofErr w:type="spellEnd"/>
      <w:r>
        <w:t>. 1189).  Bij de restauratie van kerken zal hij ervoor zorgen dat er gewaakt wordt dat de principes en normen van de liturgie en de gewijde kunst in acht worden genomen (</w:t>
      </w:r>
      <w:proofErr w:type="spellStart"/>
      <w:r>
        <w:t>can</w:t>
      </w:r>
      <w:proofErr w:type="spellEnd"/>
      <w:r>
        <w:t>. 1216).</w:t>
      </w:r>
    </w:p>
    <w:p w:rsidR="00C61FE8" w:rsidRDefault="00C61FE8" w:rsidP="00C61FE8">
      <w:pPr>
        <w:jc w:val="both"/>
      </w:pPr>
      <w:r>
        <w:t>De Commissie voor Kerkelijk Patrimonium (CKP) werd door de bisschop van Hasselt hierbij aangesteld als zijn adviserend orgaan.  Geen enkele wijziging aan of in het kerkgebouw die ingrijpend invloed kan hebben op de liturgie kan uitgevoerd worden zonder de goedkeuring van de definitieve plannen door de bisschop. De CKP brengt advies uit na voorafgaand overleg met de betrokken kerkfabriek over de concrete plannen.  Dit principe geldt onverminderd ook in het kader van het parochiekerkenplan voor ingrepen die verband houden met valorisatie</w:t>
      </w:r>
      <w:r w:rsidRPr="00623DC2">
        <w:t>, nevenbestemming of herbestemming</w:t>
      </w:r>
      <w:r>
        <w:t xml:space="preserve">. </w:t>
      </w:r>
    </w:p>
    <w:p w:rsidR="00C61FE8" w:rsidRDefault="00C61FE8" w:rsidP="00C61FE8">
      <w:pPr>
        <w:jc w:val="both"/>
      </w:pPr>
      <w:r>
        <w:t>De kerkfabriek contacteert de commissie wanneer men aanpassingen wil doorvoeren die te maken hebben met:</w:t>
      </w:r>
    </w:p>
    <w:p w:rsidR="00C61FE8" w:rsidRDefault="00C61FE8" w:rsidP="00C61FE8">
      <w:pPr>
        <w:pStyle w:val="Lijstalinea"/>
        <w:numPr>
          <w:ilvl w:val="0"/>
          <w:numId w:val="5"/>
        </w:numPr>
        <w:jc w:val="both"/>
      </w:pPr>
      <w:r>
        <w:t>Onroerend</w:t>
      </w:r>
    </w:p>
    <w:p w:rsidR="00C61FE8" w:rsidRDefault="00C61FE8" w:rsidP="00C61FE8">
      <w:pPr>
        <w:pStyle w:val="Lijstalinea"/>
        <w:numPr>
          <w:ilvl w:val="1"/>
          <w:numId w:val="5"/>
        </w:numPr>
        <w:jc w:val="both"/>
      </w:pPr>
      <w:r>
        <w:t xml:space="preserve">Valorisatie,  medegebruik door andere geloofsgemeenschappen en (gedeeltelijk) nevengebruik door derden van het kerkgebouw </w:t>
      </w:r>
      <w:r w:rsidRPr="00590A38">
        <w:rPr>
          <w:i/>
        </w:rPr>
        <w:t>(voor meer toelichting zie visietekst en richtlijnen van de Vlaamse bisschoppen voor het gebruik van de parochiekerken)</w:t>
      </w:r>
    </w:p>
    <w:p w:rsidR="00C61FE8" w:rsidRDefault="00C61FE8" w:rsidP="00C61FE8">
      <w:pPr>
        <w:pStyle w:val="Lijstalinea"/>
        <w:numPr>
          <w:ilvl w:val="1"/>
          <w:numId w:val="5"/>
        </w:numPr>
        <w:jc w:val="both"/>
      </w:pPr>
      <w:r>
        <w:t xml:space="preserve">Restauratie (binnen en buiten), schilderen en beveiligen van het kerkgebouw en van inrichting die door bestemming onroerend is (o.a. altaren, orgel) </w:t>
      </w:r>
    </w:p>
    <w:p w:rsidR="00C61FE8" w:rsidRDefault="00C61FE8" w:rsidP="00C61FE8">
      <w:pPr>
        <w:pStyle w:val="Lijstalinea"/>
        <w:numPr>
          <w:ilvl w:val="1"/>
          <w:numId w:val="5"/>
        </w:numPr>
        <w:jc w:val="both"/>
      </w:pPr>
      <w:r>
        <w:t xml:space="preserve">Glasramen </w:t>
      </w:r>
    </w:p>
    <w:p w:rsidR="00C61FE8" w:rsidRDefault="00C61FE8" w:rsidP="00C61FE8">
      <w:pPr>
        <w:pStyle w:val="Lijstalinea"/>
        <w:numPr>
          <w:ilvl w:val="0"/>
          <w:numId w:val="5"/>
        </w:numPr>
        <w:jc w:val="both"/>
      </w:pPr>
      <w:r>
        <w:t>Roerend</w:t>
      </w:r>
    </w:p>
    <w:p w:rsidR="00C61FE8" w:rsidRDefault="00C61FE8" w:rsidP="00C61FE8">
      <w:pPr>
        <w:pStyle w:val="Lijstalinea"/>
        <w:numPr>
          <w:ilvl w:val="1"/>
          <w:numId w:val="5"/>
        </w:numPr>
        <w:jc w:val="both"/>
      </w:pPr>
      <w:r>
        <w:t>Vorm en materiaal van het liturgisch meubilair, en herschikkingen aan het priesterkoor</w:t>
      </w:r>
    </w:p>
    <w:p w:rsidR="00C61FE8" w:rsidRDefault="00C61FE8" w:rsidP="00C61FE8">
      <w:pPr>
        <w:pStyle w:val="Lijstalinea"/>
        <w:numPr>
          <w:ilvl w:val="1"/>
          <w:numId w:val="5"/>
        </w:numPr>
        <w:jc w:val="both"/>
      </w:pPr>
      <w:r>
        <w:t>Restauratie van het liturgisch meubilair</w:t>
      </w:r>
    </w:p>
    <w:p w:rsidR="00C61FE8" w:rsidRDefault="00C61FE8" w:rsidP="00C61FE8">
      <w:pPr>
        <w:pStyle w:val="Lijstalinea"/>
        <w:numPr>
          <w:ilvl w:val="1"/>
          <w:numId w:val="5"/>
        </w:numPr>
        <w:jc w:val="both"/>
      </w:pPr>
      <w:r>
        <w:t>Plaats van de religieuze kunstwerken (beelden, schilderijen,…)</w:t>
      </w:r>
    </w:p>
    <w:p w:rsidR="00C61FE8" w:rsidRDefault="00C61FE8" w:rsidP="00C61FE8">
      <w:pPr>
        <w:pStyle w:val="Lijstalinea"/>
        <w:numPr>
          <w:ilvl w:val="1"/>
          <w:numId w:val="5"/>
        </w:numPr>
        <w:jc w:val="both"/>
      </w:pPr>
      <w:r>
        <w:t>Restauratie en bewaring van religieuze kunstwerken en textiel</w:t>
      </w:r>
    </w:p>
    <w:p w:rsidR="00C61FE8" w:rsidRDefault="00C61FE8" w:rsidP="00C61FE8">
      <w:pPr>
        <w:pStyle w:val="Lijstalinea"/>
        <w:numPr>
          <w:ilvl w:val="1"/>
          <w:numId w:val="5"/>
        </w:numPr>
        <w:jc w:val="both"/>
      </w:pPr>
      <w:r>
        <w:t>Verlichting- en geluidsinstallaties.</w:t>
      </w:r>
    </w:p>
    <w:p w:rsidR="00C61FE8" w:rsidRDefault="00C61FE8" w:rsidP="00C61FE8">
      <w:pPr>
        <w:jc w:val="both"/>
      </w:pPr>
      <w:r>
        <w:t xml:space="preserve">Onder liturgisch meubilair wordt onder meer begrepen: dienstaltaar, </w:t>
      </w:r>
      <w:proofErr w:type="spellStart"/>
      <w:r>
        <w:t>sedilia</w:t>
      </w:r>
      <w:proofErr w:type="spellEnd"/>
      <w:r>
        <w:t xml:space="preserve"> (stoel van de voorganger), lezenaar, ambo, communiebank, preekstoel, biechtstoel, koorgestoelte en –banken, credenstafel, doopvont, tabernakel.</w:t>
      </w:r>
    </w:p>
    <w:p w:rsidR="00C61FE8" w:rsidRDefault="00C61FE8" w:rsidP="00C61FE8">
      <w:pPr>
        <w:jc w:val="both"/>
      </w:pPr>
      <w:r>
        <w:t xml:space="preserve">In de kerkraad zal het lid van rechtswege als aangestelde verantwoordelijke van de parochie erover waken dat de CKP daadwerkelijk over de voorgenomen werken of aanpassingen wordt geïnformeerd.  Zo kan het overleg met de CKP tijdig plaatsvinden en onnodige vertraging van de werken voorkomen.  Indien het lid van rechtswege zelf niet de pastoor is van de parochie, zal het eerst deze op de hoogte brengen.  </w:t>
      </w:r>
    </w:p>
    <w:p w:rsidR="00C61FE8" w:rsidRPr="00E55EBC" w:rsidRDefault="00C61FE8" w:rsidP="00E55EBC">
      <w:pPr>
        <w:jc w:val="both"/>
      </w:pPr>
      <w:r>
        <w:t xml:space="preserve">Het decreet van 7/5/2004 wijzigde de status van het roerend kerkelijk erfgoed niet: het blijft behoren tot de openbare domeingoederen en kan als zodanig niet vervreemd worden.  De kerkfabriek zal dit </w:t>
      </w:r>
      <w:r>
        <w:lastRenderedPageBreak/>
        <w:t xml:space="preserve">erfgoed dan ook met de grootste omzichtigheid behandelen.  Vooral liturgisch textiel verdient bijzondere aandacht omwille van de kwetsbaarheid van de gebruikte materialen.  In afwachting van een meer gecentraliseerde depotwerking zal iedere kerkfabriek waken over een aangepaste behandeling en opslag waarbij de CKP om advies kan worden gevraagd.  Monumentenwacht publiceerde een uitstekende brochure </w:t>
      </w:r>
      <w:hyperlink r:id="rId6" w:history="1">
        <w:r w:rsidRPr="007B0478">
          <w:rPr>
            <w:i/>
          </w:rPr>
          <w:t>Kerkelijk textiel behouden en bewaren</w:t>
        </w:r>
      </w:hyperlink>
      <w:r>
        <w:t xml:space="preserve">.  (Zie hiervoor: </w:t>
      </w:r>
      <w:r w:rsidRPr="00590A38">
        <w:t>http://www.monumentenwacht.be/sites/www.monumentenwacht.be/files/b1218.pdf</w:t>
      </w:r>
      <w:r>
        <w:t>.)</w:t>
      </w:r>
    </w:p>
    <w:p w:rsidR="00362B6E" w:rsidRDefault="00362B6E">
      <w:bookmarkStart w:id="0" w:name="_GoBack"/>
      <w:bookmarkEnd w:id="0"/>
    </w:p>
    <w:sectPr w:rsidR="0036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39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B955A8"/>
    <w:multiLevelType w:val="hybridMultilevel"/>
    <w:tmpl w:val="B04CBE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5A4AED"/>
    <w:multiLevelType w:val="multilevel"/>
    <w:tmpl w:val="5804EF7E"/>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4D5C75E0"/>
    <w:multiLevelType w:val="hybridMultilevel"/>
    <w:tmpl w:val="E9A297AE"/>
    <w:lvl w:ilvl="0" w:tplc="FCC6E9FC">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E50429"/>
    <w:multiLevelType w:val="hybridMultilevel"/>
    <w:tmpl w:val="B0A418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6E"/>
    <w:rsid w:val="00362B6E"/>
    <w:rsid w:val="006D24EC"/>
    <w:rsid w:val="00B50EE8"/>
    <w:rsid w:val="00C61FE8"/>
    <w:rsid w:val="00DA4233"/>
    <w:rsid w:val="00E55EBC"/>
    <w:rsid w:val="00EF4B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0950"/>
  <w15:docId w15:val="{91293DF3-0CA7-4DBD-8AC7-945B9BA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362B6E"/>
    <w:pPr>
      <w:spacing w:after="0" w:line="240" w:lineRule="auto"/>
    </w:pPr>
    <w:rPr>
      <w:rFonts w:ascii="Times New Roman" w:eastAsia="Times New Roman" w:hAnsi="Times New Roman" w:cs="Times New Roman"/>
      <w:i/>
      <w:iCs/>
      <w:sz w:val="24"/>
      <w:szCs w:val="24"/>
      <w:lang w:eastAsia="nl-NL"/>
    </w:rPr>
  </w:style>
  <w:style w:type="character" w:customStyle="1" w:styleId="PlattetekstChar">
    <w:name w:val="Platte tekst Char"/>
    <w:basedOn w:val="Standaardalinea-lettertype"/>
    <w:link w:val="Plattetekst"/>
    <w:uiPriority w:val="99"/>
    <w:rsid w:val="00362B6E"/>
    <w:rPr>
      <w:rFonts w:ascii="Times New Roman" w:eastAsia="Times New Roman" w:hAnsi="Times New Roman" w:cs="Times New Roman"/>
      <w:i/>
      <w:iCs/>
      <w:sz w:val="24"/>
      <w:szCs w:val="24"/>
      <w:lang w:eastAsia="nl-NL"/>
    </w:rPr>
  </w:style>
  <w:style w:type="paragraph" w:styleId="Lijstalinea">
    <w:name w:val="List Paragraph"/>
    <w:basedOn w:val="Standaard"/>
    <w:uiPriority w:val="34"/>
    <w:qFormat/>
    <w:rsid w:val="00C6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umentenwacht.be/publicaties/kerkelijk-textiel-behouden-en-bewaren"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Knieper</dc:creator>
  <cp:lastModifiedBy>Christos Knieper</cp:lastModifiedBy>
  <cp:revision>2</cp:revision>
  <dcterms:created xsi:type="dcterms:W3CDTF">2023-10-23T11:13:00Z</dcterms:created>
  <dcterms:modified xsi:type="dcterms:W3CDTF">2023-10-23T11:13:00Z</dcterms:modified>
</cp:coreProperties>
</file>