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760" w:rsidRDefault="00EB4760">
      <w:pPr>
        <w:pStyle w:val="Titel"/>
      </w:pPr>
      <w:bookmarkStart w:id="0" w:name="_GoBack"/>
      <w:bookmarkEnd w:id="0"/>
      <w:r>
        <w:t>VLAAMS SECRETARIAAT van het KATHOLIEK ONDERWIJS</w:t>
      </w:r>
    </w:p>
    <w:p w:rsidR="00EB4760" w:rsidRDefault="00EB4760">
      <w:pPr>
        <w:framePr w:hSpace="142" w:wrap="notBeside" w:vAnchor="text" w:hAnchor="margin" w:xAlign="center" w:y="1"/>
        <w:pBdr>
          <w:bottom w:val="single" w:sz="12" w:space="4" w:color="auto"/>
        </w:pBdr>
        <w:jc w:val="center"/>
      </w:pPr>
      <w:r>
        <w:t>Guimardstraat 1  –  1040 Brussel</w:t>
      </w:r>
    </w:p>
    <w:p w:rsidR="00EB4760" w:rsidRDefault="00EB4760">
      <w:pPr>
        <w:pStyle w:val="Na36"/>
      </w:pPr>
    </w:p>
    <w:p w:rsidR="00EB4760" w:rsidRDefault="00EB4760">
      <w:pPr>
        <w:pStyle w:val="VoorNul"/>
        <w:spacing w:before="0"/>
      </w:pPr>
      <w:r>
        <w:t>VSKO/DIM/</w:t>
      </w:r>
      <w:r>
        <w:rPr>
          <w:noProof/>
        </w:rPr>
        <w:t>02</w:t>
      </w:r>
      <w:r>
        <w:t>.</w:t>
      </w:r>
      <w:bookmarkStart w:id="1" w:name="OmzendBrief"/>
      <w:r>
        <w:t>1</w:t>
      </w:r>
      <w:bookmarkEnd w:id="1"/>
      <w:r>
        <w:tab/>
        <w:t xml:space="preserve">Brussel, </w:t>
      </w:r>
      <w:r>
        <w:rPr>
          <w:noProof/>
        </w:rPr>
        <w:t>21 januari 2002</w:t>
      </w:r>
    </w:p>
    <w:p w:rsidR="00EB4760" w:rsidRDefault="00EB4760">
      <w:pPr>
        <w:pStyle w:val="Na36Links"/>
      </w:pPr>
      <w:r>
        <w:t>Kl. 80.01.02</w:t>
      </w:r>
    </w:p>
    <w:p w:rsidR="00EB4760" w:rsidRDefault="00EB4760">
      <w:pPr>
        <w:pStyle w:val="Onderwerp"/>
      </w:pPr>
      <w:bookmarkStart w:id="2" w:name="Onderwerp"/>
      <w:r>
        <w:rPr>
          <w:noProof/>
        </w:rPr>
        <w:t>Vrijstelling van registratierechten en patrimoniumtaksen in het onderwijs</w:t>
      </w:r>
      <w:bookmarkEnd w:id="2"/>
    </w:p>
    <w:p w:rsidR="00EB4760" w:rsidRDefault="00EB4760">
      <w:pPr>
        <w:pStyle w:val="Kop1"/>
      </w:pPr>
      <w:r>
        <w:t>Regelgeving</w:t>
      </w:r>
    </w:p>
    <w:p w:rsidR="00EB4760" w:rsidRDefault="00EB4760">
      <w:r>
        <w:t>In het Belgisch Staatsblad van 19 december 2001, 2</w:t>
      </w:r>
      <w:r>
        <w:rPr>
          <w:vertAlign w:val="superscript"/>
        </w:rPr>
        <w:t>e</w:t>
      </w:r>
      <w:r>
        <w:t xml:space="preserve"> editie, verscheen de wet van 5 december 2001 tot wijziging van art. 161, 1° van het Wetboek van Registratierechten en art. 149 van het Wetboek van Successierechten (zie bijlage).</w:t>
      </w:r>
    </w:p>
    <w:p w:rsidR="00EB4760" w:rsidRDefault="00EB4760"/>
    <w:p w:rsidR="00EB4760" w:rsidRDefault="00EB4760">
      <w:pPr>
        <w:pStyle w:val="Kop1"/>
      </w:pPr>
      <w:r>
        <w:t>Gevolgen</w:t>
      </w:r>
    </w:p>
    <w:p w:rsidR="00EB4760" w:rsidRDefault="00EB4760">
      <w:r>
        <w:t xml:space="preserve">Art. 161 Wetboek registratierechten betreft de </w:t>
      </w:r>
      <w:r>
        <w:rPr>
          <w:b/>
          <w:bCs/>
        </w:rPr>
        <w:t>kosteloze registratie</w:t>
      </w:r>
      <w:r>
        <w:t xml:space="preserve"> van "akten in der minne, die betrekking hebben op onroerende goederen die uitsluitend bestemd zijn voor onderwijs", terwijl art. 149 Wetboek successierechten de inrichtende machten van het onderwijs en vzw's voor patrimoniaal beheer in ditzelfde kader </w:t>
      </w:r>
      <w:r>
        <w:rPr>
          <w:b/>
          <w:bCs/>
        </w:rPr>
        <w:t>vrijstelt van de patrimoniumtaks</w:t>
      </w:r>
      <w:r>
        <w:t xml:space="preserve"> (taks tot vergoeding der successierechten).</w:t>
      </w:r>
    </w:p>
    <w:p w:rsidR="00EB4760" w:rsidRDefault="00EB4760">
      <w:pPr>
        <w:spacing w:before="120"/>
      </w:pPr>
      <w:r>
        <w:t xml:space="preserve">De invoeging van een </w:t>
      </w:r>
      <w:r>
        <w:rPr>
          <w:b/>
          <w:bCs/>
        </w:rPr>
        <w:t>nieuw lid in art. 161, 1°, Wetboek registratierechten</w:t>
      </w:r>
      <w:r>
        <w:t xml:space="preserve"> strekt ertoe aan de inrichtende machten van het gemeenschapsonderwijs of het (zowel officieel als vrij) gesubsidieerd onderwijs en 'vzw's voor patrimoniaal beheer' die tot uitsluitend doel hebben onroerende goederen ter beschikking te stellen voor onderwijs door voornoemde inrichtende machten, een recht op kosteloze registratie van de akten in der minne m.b.t. hun onroerende goederen te verlenen.  Dit op voorwaarde dat het gaat om goederen die uitsluitend bestemd zijn voor onderwijs.</w:t>
      </w:r>
    </w:p>
    <w:p w:rsidR="00EB4760" w:rsidRDefault="00EB4760">
      <w:pPr>
        <w:spacing w:before="120"/>
      </w:pPr>
      <w:r>
        <w:t>De term "inrichtende macht" heeft dezelfde betekenis als die aan deze uitdrukking verleend wordt in art. 24, § 4 van de Grondwet.</w:t>
      </w:r>
    </w:p>
    <w:p w:rsidR="00EB4760" w:rsidRDefault="00EB4760">
      <w:pPr>
        <w:spacing w:before="120"/>
      </w:pPr>
      <w:r>
        <w:t>Met "akten in der minne" bedoelt men alle akten (geschriften) behalve de akten van procedure en de vonnissen.</w:t>
      </w:r>
    </w:p>
    <w:p w:rsidR="00EB4760" w:rsidRDefault="00EB4760">
      <w:pPr>
        <w:spacing w:before="120"/>
      </w:pPr>
      <w:r>
        <w:t>De bevoegde minister verduidelijkte in de voorbereidende werken dat aan de termen "onroerende goederen die uitsluitend bestemd zijn voor het onderwijs" een ruime interpretatie kan gegeven worden in die zin dat het volstaat voor een gebouw dat deel uitmaakt van een ruimer schoolcomplex, een onomstotelijke en rechtstreekse band met de onderwijsactiviteit aan te tonen om het belastingvoordeel te kunnen blijven genieten.  Een aantal voorbeelden worden bovendien gegeven om dit te illustreren.  Een conciërgewoning die in een onderwijsinstelling gelegen is draagt alzo bij tot de onderwijsopdracht in de ruime zin en valt dus onder het toepassingsgebied van deze maatregel.  Voormeld belastingvoordeel is in het gesubsidieerd confessioneel onderwijs ook van toepassing op dat deel van een gebouw dat voor onderwijs bestemd is en voor de eredienst wordt aangewend.  In dit verband wordt trouwens nog opgemerkt dat een in een schoolinstelling geïntegreerde kapel die in de week voor eucharistievieringen met de leerlingen aangewend wordt, een zeer duidelijke link met de onderwijsactiviteit vertoont.  Die band is zelfs nog veel directer dan in het geval van de conciërgewoning.</w:t>
      </w:r>
    </w:p>
    <w:p w:rsidR="00EB4760" w:rsidRDefault="00EB4760">
      <w:pPr>
        <w:spacing w:before="120"/>
      </w:pPr>
      <w:r>
        <w:t xml:space="preserve">Om in aanmerking te komen voor het belastingvoordeel in kwestie dienen voormelde vzw's voor patrimoniaal beheer "tot uitsluitend doel te hebben onroerende goederen ter beschikking te stellen voor </w:t>
      </w:r>
      <w:r>
        <w:lastRenderedPageBreak/>
        <w:t>onderwijs (door voornoemde inrichtende machten verstrekt)".  Zo kan het toepassingsgebied van deze maatregel niet uitgebreid worden tot vzw's met verschillende doelen waaronder het onderwijs.</w:t>
      </w:r>
    </w:p>
    <w:p w:rsidR="00EB4760" w:rsidRDefault="00EB4760">
      <w:pPr>
        <w:spacing w:before="120"/>
      </w:pPr>
      <w:r>
        <w:t xml:space="preserve">De tekst van </w:t>
      </w:r>
      <w:r>
        <w:rPr>
          <w:b/>
          <w:bCs/>
        </w:rPr>
        <w:t>art. 149 Wetboek successierechten</w:t>
      </w:r>
      <w:r>
        <w:t xml:space="preserve"> wordt aangevuld met een </w:t>
      </w:r>
      <w:r>
        <w:rPr>
          <w:b/>
          <w:bCs/>
        </w:rPr>
        <w:t>punt 4°</w:t>
      </w:r>
      <w:r>
        <w:t>.  Zo worden voornoemde inrichtende machten alsook de reeds vermelde vzw's voor patrimoniaal beheer vrijgesteld van de patrimoniumtaks m.b.t. de onroerende goederen uitsluitend bestemd voor onderwijs.</w:t>
      </w:r>
    </w:p>
    <w:p w:rsidR="00EB4760" w:rsidRDefault="00EB4760">
      <w:pPr>
        <w:pStyle w:val="Koptekst"/>
        <w:tabs>
          <w:tab w:val="clear" w:pos="4536"/>
          <w:tab w:val="clear" w:pos="9072"/>
        </w:tabs>
        <w:spacing w:before="120"/>
        <w:jc w:val="center"/>
      </w:pPr>
      <w:r>
        <w:br w:type="page"/>
      </w:r>
      <w:r>
        <w:lastRenderedPageBreak/>
        <w:t>Bijlage bij de omzendbrief VSKO/DIM/02.01 d.d. 21 januari 2002</w:t>
      </w:r>
    </w:p>
    <w:p w:rsidR="00EB4760" w:rsidRDefault="00EB4760"/>
    <w:p w:rsidR="00EB4760" w:rsidRDefault="00EB4760"/>
    <w:p w:rsidR="00EB4760" w:rsidRDefault="00EB4760">
      <w:pPr>
        <w:pStyle w:val="Kader"/>
        <w:framePr w:wrap="notBeside"/>
      </w:pPr>
      <w:r>
        <w:t>Uittreksel uit het Belgisch Staatsblad d.d. 19 december 2001</w:t>
      </w:r>
    </w:p>
    <w:p w:rsidR="00EB4760" w:rsidRDefault="00EB4760">
      <w:pPr>
        <w:rPr>
          <w:lang w:val="nl-NL"/>
        </w:rPr>
      </w:pPr>
    </w:p>
    <w:p w:rsidR="00EB4760" w:rsidRDefault="00EB4760">
      <w:pPr>
        <w:jc w:val="center"/>
        <w:rPr>
          <w:b/>
          <w:bCs/>
        </w:rPr>
      </w:pPr>
      <w:r>
        <w:rPr>
          <w:b/>
          <w:bCs/>
        </w:rPr>
        <w:t>MINISTERIE VAN FINANCIEN</w:t>
      </w:r>
    </w:p>
    <w:p w:rsidR="00EB4760" w:rsidRDefault="00EB4760">
      <w:pPr>
        <w:jc w:val="center"/>
        <w:rPr>
          <w:rFonts w:ascii="Arial Unicode MS" w:eastAsia="Arial Unicode MS" w:hAnsi="Arial Unicode MS" w:cs="Arial Unicode MS"/>
          <w:b/>
          <w:bCs/>
          <w:sz w:val="24"/>
          <w:szCs w:val="24"/>
        </w:rPr>
      </w:pPr>
    </w:p>
    <w:p w:rsidR="00EB4760" w:rsidRDefault="00EB4760">
      <w:pPr>
        <w:pStyle w:val="Kop3"/>
        <w:numPr>
          <w:ilvl w:val="0"/>
          <w:numId w:val="0"/>
        </w:numPr>
        <w:rPr>
          <w:b/>
          <w:bCs/>
          <w:i w:val="0"/>
          <w:iCs/>
        </w:rPr>
      </w:pPr>
      <w:r>
        <w:rPr>
          <w:b/>
          <w:bCs/>
          <w:i w:val="0"/>
          <w:iCs/>
        </w:rPr>
        <w:t>5 DECEMBER 2001. – Wet tot wijziging van artikel 161, 1°, van het Wetboek van registratie-, hypotheek- en griffierechten en artikel 149 van het Wetboek der successierechten</w:t>
      </w:r>
    </w:p>
    <w:p w:rsidR="00EB4760" w:rsidRDefault="00EB4760"/>
    <w:p w:rsidR="00EB4760" w:rsidRDefault="00EB4760">
      <w:pPr>
        <w:spacing w:before="120"/>
      </w:pPr>
      <w:r>
        <w:t>ALBERT II, Koning der Belgen,</w:t>
      </w:r>
    </w:p>
    <w:p w:rsidR="00EB4760" w:rsidRDefault="00EB4760">
      <w:pPr>
        <w:spacing w:before="120"/>
      </w:pPr>
      <w:r>
        <w:t>Aan allen die nu zijn en hierna wezen zullen, Onze Groet.</w:t>
      </w:r>
    </w:p>
    <w:p w:rsidR="00EB4760" w:rsidRDefault="00EB4760">
      <w:pPr>
        <w:spacing w:before="120"/>
      </w:pPr>
      <w:r>
        <w:t>De Kamers hebben aangenomen en Wij bekrachtigen hetgeen volgt:</w:t>
      </w:r>
    </w:p>
    <w:p w:rsidR="00EB4760" w:rsidRDefault="00EB4760">
      <w:pPr>
        <w:spacing w:before="120"/>
      </w:pPr>
      <w:r>
        <w:rPr>
          <w:b/>
          <w:bCs/>
        </w:rPr>
        <w:t>Artikel 1.</w:t>
      </w:r>
      <w:r>
        <w:t xml:space="preserve"> Deze wet regelt een aangelegenheid als bedoeld in artikel 78 van de Grondwet.</w:t>
      </w:r>
    </w:p>
    <w:p w:rsidR="00EB4760" w:rsidRDefault="00EB4760">
      <w:pPr>
        <w:spacing w:before="120"/>
      </w:pPr>
      <w:r>
        <w:rPr>
          <w:b/>
          <w:bCs/>
        </w:rPr>
        <w:t xml:space="preserve">Art. 2. </w:t>
      </w:r>
      <w:r>
        <w:t>In artikel 161, 1°, van het Wetboek van registratie-, hypotheek- en griffierechten, wordt tussen het eerste en het tweede lid een nieuw lid ingevoegd, luidend als volgt:</w:t>
      </w:r>
    </w:p>
    <w:p w:rsidR="00EB4760" w:rsidRDefault="00EB4760">
      <w:pPr>
        <w:pStyle w:val="Bloktekst"/>
      </w:pPr>
      <w:r>
        <w:t>«De akten in der minne, die betrekking hebben op onroerende goederen die uitsluitend bestemd zijn voor onderwijs, verleden ten name of ten bate van de inrichtende machten van het gemeenschaps</w:t>
      </w:r>
      <w:r>
        <w:softHyphen/>
        <w:t>onderwijs of het gesubsidieerd onderwijs, alsook ten name of ten bate van verenigingen zonder winstoogmerk voor patrimoniaal beheer die tot uitsluitend doel hebben onroerende goederen ter beschikking te stellen voor onderwijs dat door de voornoemde inrichtende machten wordt verstrekt.»</w:t>
      </w:r>
    </w:p>
    <w:p w:rsidR="00EB4760" w:rsidRDefault="00EB4760">
      <w:pPr>
        <w:spacing w:before="120"/>
      </w:pPr>
      <w:r>
        <w:rPr>
          <w:b/>
          <w:bCs/>
        </w:rPr>
        <w:t xml:space="preserve">Art. 3. </w:t>
      </w:r>
      <w:r>
        <w:t>Artikel 149 van het Wetboek der successierechten wordt aangevuld als volgt:</w:t>
      </w:r>
    </w:p>
    <w:p w:rsidR="00EB4760" w:rsidRDefault="00EB4760">
      <w:pPr>
        <w:pStyle w:val="Bloktekst"/>
      </w:pPr>
      <w:r>
        <w:t>«4° de inrichtende machten van het gemeenschapsonderwijs of het gesubsidieerd onderwijs, voor wat betreft de onroerende goederen die uitsluitend bestemd zijn voor onderwijs en de verenigingen zonder winstoogmerk voor patrimoniaal beheer die tot uitsluitend doel hebben onroerende goederen ter beschikking te stellen voor onderwijs dat door de voornoemde inrichtende machten wordt verstrekt.»</w:t>
      </w:r>
    </w:p>
    <w:p w:rsidR="00EB4760" w:rsidRDefault="00EB4760">
      <w:pPr>
        <w:spacing w:before="120"/>
      </w:pPr>
      <w:r>
        <w:t>Kondigen deze wet af, bevelen dat zij met 's Lands zegel zal worden bekleed en door het Belgisch Staatsblad zal worden bekendgemaakt.</w:t>
      </w:r>
    </w:p>
    <w:p w:rsidR="00EB4760" w:rsidRDefault="00EB4760">
      <w:pPr>
        <w:spacing w:before="120"/>
      </w:pPr>
      <w:r>
        <w:t>Gegeven te Brussel, 5 december 2001.</w:t>
      </w:r>
    </w:p>
    <w:p w:rsidR="00EB4760" w:rsidRDefault="00EB4760">
      <w:pPr>
        <w:spacing w:before="120"/>
        <w:jc w:val="center"/>
      </w:pPr>
      <w:r>
        <w:t>ALBERT</w:t>
      </w:r>
    </w:p>
    <w:p w:rsidR="00EB4760" w:rsidRDefault="00EB4760">
      <w:pPr>
        <w:spacing w:before="120"/>
        <w:jc w:val="center"/>
      </w:pPr>
      <w:r>
        <w:t>Van Koningswege:</w:t>
      </w:r>
    </w:p>
    <w:p w:rsidR="00EB4760" w:rsidRDefault="00EB4760">
      <w:pPr>
        <w:spacing w:before="120"/>
        <w:jc w:val="center"/>
      </w:pPr>
      <w:r>
        <w:t>De Minister van Financiën,</w:t>
      </w:r>
    </w:p>
    <w:p w:rsidR="00EB4760" w:rsidRDefault="00EB4760">
      <w:pPr>
        <w:jc w:val="center"/>
      </w:pPr>
      <w:r>
        <w:t>D. REYNDERS</w:t>
      </w:r>
    </w:p>
    <w:p w:rsidR="00EB4760" w:rsidRDefault="00EB4760">
      <w:pPr>
        <w:spacing w:before="120"/>
        <w:jc w:val="center"/>
      </w:pPr>
      <w:r>
        <w:t>Met 's Lands zegel gezegeld:</w:t>
      </w:r>
    </w:p>
    <w:p w:rsidR="00EB4760" w:rsidRDefault="00EB4760">
      <w:pPr>
        <w:spacing w:before="120"/>
        <w:jc w:val="center"/>
      </w:pPr>
      <w:r>
        <w:t>De Minister van Justitie,</w:t>
      </w:r>
    </w:p>
    <w:p w:rsidR="00EB4760" w:rsidRDefault="00EB4760">
      <w:pPr>
        <w:jc w:val="center"/>
      </w:pPr>
      <w:r>
        <w:t>M. VERWILGHEN</w:t>
      </w:r>
    </w:p>
    <w:sectPr w:rsidR="00EB4760">
      <w:headerReference w:type="even" r:id="rId7"/>
      <w:headerReference w:type="default" r:id="rId8"/>
      <w:footerReference w:type="even" r:id="rId9"/>
      <w:footerReference w:type="default" r:id="rId10"/>
      <w:headerReference w:type="first" r:id="rId11"/>
      <w:footerReference w:type="first" r:id="rId12"/>
      <w:pgSz w:w="11907" w:h="16840"/>
      <w:pgMar w:top="1304" w:right="1134" w:bottom="1134" w:left="1418"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760" w:rsidRDefault="00EB4760">
      <w:r>
        <w:separator/>
      </w:r>
    </w:p>
  </w:endnote>
  <w:endnote w:type="continuationSeparator" w:id="0">
    <w:p w:rsidR="00EB4760" w:rsidRDefault="00EB4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760" w:rsidRDefault="00EB4760">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760" w:rsidRDefault="00EB4760">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760" w:rsidRDefault="00EB476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760" w:rsidRDefault="00EB4760">
      <w:r>
        <w:separator/>
      </w:r>
    </w:p>
  </w:footnote>
  <w:footnote w:type="continuationSeparator" w:id="0">
    <w:p w:rsidR="00EB4760" w:rsidRDefault="00EB47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760" w:rsidRDefault="00EB4760">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EB4760" w:rsidRDefault="00EB4760">
    <w:pPr>
      <w:pStyle w:val="Koptekst"/>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760" w:rsidRDefault="00EB4760">
    <w:pPr>
      <w:pStyle w:val="Koptekst"/>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760" w:rsidRDefault="00EB476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FFFFFFF"/>
    <w:lvl w:ilvl="0">
      <w:start w:val="1"/>
      <w:numFmt w:val="decimal"/>
      <w:pStyle w:val="Kop1"/>
      <w:lvlText w:val="%1"/>
      <w:legacy w:legacy="1" w:legacySpace="0" w:legacyIndent="851"/>
      <w:lvlJc w:val="left"/>
      <w:pPr>
        <w:ind w:left="851" w:hanging="851"/>
      </w:pPr>
    </w:lvl>
    <w:lvl w:ilvl="1">
      <w:start w:val="1"/>
      <w:numFmt w:val="decimal"/>
      <w:pStyle w:val="Kop2"/>
      <w:lvlText w:val="%1.%2"/>
      <w:legacy w:legacy="1" w:legacySpace="0" w:legacyIndent="851"/>
      <w:lvlJc w:val="left"/>
      <w:pPr>
        <w:ind w:left="851" w:hanging="851"/>
      </w:pPr>
    </w:lvl>
    <w:lvl w:ilvl="2">
      <w:start w:val="1"/>
      <w:numFmt w:val="decimal"/>
      <w:pStyle w:val="Kop3"/>
      <w:lvlText w:val="%1.%2.%3"/>
      <w:legacy w:legacy="1" w:legacySpace="0" w:legacyIndent="851"/>
      <w:lvlJc w:val="left"/>
      <w:pPr>
        <w:ind w:left="851" w:hanging="851"/>
      </w:pPr>
    </w:lvl>
    <w:lvl w:ilvl="3">
      <w:start w:val="1"/>
      <w:numFmt w:val="decimal"/>
      <w:pStyle w:val="Kop4"/>
      <w:lvlText w:val="%1.%2.%3.%4"/>
      <w:legacy w:legacy="1" w:legacySpace="454" w:legacyIndent="0"/>
      <w:lvlJc w:val="left"/>
    </w:lvl>
    <w:lvl w:ilvl="4">
      <w:start w:val="1"/>
      <w:numFmt w:val="decimal"/>
      <w:pStyle w:val="Kop5"/>
      <w:lvlText w:val="%1.%2.%3.%4.%5"/>
      <w:legacy w:legacy="1" w:legacySpace="454" w:legacyIndent="0"/>
      <w:lvlJc w:val="left"/>
    </w:lvl>
    <w:lvl w:ilvl="5">
      <w:start w:val="1"/>
      <w:numFmt w:val="decimal"/>
      <w:pStyle w:val="Kop6"/>
      <w:lvlText w:val="%1.%2.%3.%4.%5.%6"/>
      <w:legacy w:legacy="1" w:legacySpace="454" w:legacyIndent="0"/>
      <w:lvlJc w:val="left"/>
    </w:lvl>
    <w:lvl w:ilvl="6">
      <w:start w:val="1"/>
      <w:numFmt w:val="decimal"/>
      <w:pStyle w:val="Kop7"/>
      <w:lvlText w:val="%1.%2.%3.%4.%5.%6.%7"/>
      <w:legacy w:legacy="1" w:legacySpace="454" w:legacyIndent="0"/>
      <w:lvlJc w:val="left"/>
    </w:lvl>
    <w:lvl w:ilvl="7">
      <w:start w:val="1"/>
      <w:numFmt w:val="decimal"/>
      <w:pStyle w:val="Kop8"/>
      <w:lvlText w:val="%1.%2.%3.%4.%5.%6.%7.%8"/>
      <w:legacy w:legacy="1" w:legacySpace="454" w:legacyIndent="0"/>
      <w:lvlJc w:val="left"/>
    </w:lvl>
    <w:lvl w:ilvl="8">
      <w:start w:val="1"/>
      <w:numFmt w:val="decimal"/>
      <w:pStyle w:val="Kop9"/>
      <w:lvlText w:val="%1.%2.%3.%4.%5.%6.%7.%8.%9"/>
      <w:legacy w:legacy="1" w:legacySpace="454" w:legacyIndent="0"/>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9A3"/>
    <w:rsid w:val="00743A32"/>
    <w:rsid w:val="00AE39A3"/>
    <w:rsid w:val="00EB476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C97008B-5B68-44B4-BD01-C6C1628F9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jc w:val="both"/>
    </w:pPr>
    <w:rPr>
      <w:sz w:val="22"/>
      <w:lang w:val="nl" w:eastAsia="nl-NL"/>
    </w:rPr>
  </w:style>
  <w:style w:type="paragraph" w:styleId="Kop1">
    <w:name w:val="heading 1"/>
    <w:basedOn w:val="Standaard"/>
    <w:next w:val="Standaard"/>
    <w:qFormat/>
    <w:pPr>
      <w:keepNext/>
      <w:numPr>
        <w:numId w:val="1"/>
      </w:numPr>
      <w:spacing w:after="180"/>
      <w:outlineLvl w:val="0"/>
    </w:pPr>
    <w:rPr>
      <w:b/>
    </w:rPr>
  </w:style>
  <w:style w:type="paragraph" w:styleId="Kop2">
    <w:name w:val="heading 2"/>
    <w:basedOn w:val="Standaard"/>
    <w:next w:val="Standaard"/>
    <w:qFormat/>
    <w:pPr>
      <w:keepNext/>
      <w:numPr>
        <w:ilvl w:val="1"/>
        <w:numId w:val="1"/>
      </w:numPr>
      <w:spacing w:after="60"/>
      <w:outlineLvl w:val="1"/>
    </w:pPr>
    <w:rPr>
      <w:b/>
      <w:i/>
    </w:rPr>
  </w:style>
  <w:style w:type="paragraph" w:styleId="Kop3">
    <w:name w:val="heading 3"/>
    <w:basedOn w:val="Standaard"/>
    <w:next w:val="Standaard"/>
    <w:qFormat/>
    <w:pPr>
      <w:keepNext/>
      <w:numPr>
        <w:ilvl w:val="2"/>
        <w:numId w:val="1"/>
      </w:numPr>
      <w:spacing w:after="60"/>
      <w:outlineLvl w:val="2"/>
    </w:pPr>
    <w:rPr>
      <w:i/>
    </w:rPr>
  </w:style>
  <w:style w:type="paragraph" w:styleId="Kop4">
    <w:name w:val="heading 4"/>
    <w:basedOn w:val="Standaard"/>
    <w:next w:val="Standaard"/>
    <w:qFormat/>
    <w:pPr>
      <w:keepNext/>
      <w:numPr>
        <w:ilvl w:val="3"/>
        <w:numId w:val="1"/>
      </w:numPr>
      <w:spacing w:after="60"/>
      <w:outlineLvl w:val="3"/>
    </w:pPr>
  </w:style>
  <w:style w:type="paragraph" w:styleId="Kop5">
    <w:name w:val="heading 5"/>
    <w:basedOn w:val="Standaard"/>
    <w:next w:val="Standaard"/>
    <w:qFormat/>
    <w:pPr>
      <w:numPr>
        <w:ilvl w:val="4"/>
        <w:numId w:val="1"/>
      </w:numPr>
      <w:spacing w:after="60"/>
      <w:outlineLvl w:val="4"/>
    </w:pPr>
  </w:style>
  <w:style w:type="paragraph" w:styleId="Kop6">
    <w:name w:val="heading 6"/>
    <w:basedOn w:val="Standaard"/>
    <w:next w:val="Standaard"/>
    <w:qFormat/>
    <w:pPr>
      <w:numPr>
        <w:ilvl w:val="5"/>
        <w:numId w:val="1"/>
      </w:numPr>
      <w:spacing w:after="60"/>
      <w:outlineLvl w:val="5"/>
    </w:pPr>
  </w:style>
  <w:style w:type="paragraph" w:styleId="Kop7">
    <w:name w:val="heading 7"/>
    <w:basedOn w:val="Standaard"/>
    <w:next w:val="Standaard"/>
    <w:qFormat/>
    <w:pPr>
      <w:numPr>
        <w:ilvl w:val="6"/>
        <w:numId w:val="1"/>
      </w:numPr>
      <w:spacing w:after="60"/>
      <w:outlineLvl w:val="6"/>
    </w:pPr>
  </w:style>
  <w:style w:type="paragraph" w:styleId="Kop8">
    <w:name w:val="heading 8"/>
    <w:basedOn w:val="Standaard"/>
    <w:next w:val="Standaard"/>
    <w:qFormat/>
    <w:pPr>
      <w:numPr>
        <w:ilvl w:val="7"/>
        <w:numId w:val="1"/>
      </w:numPr>
      <w:spacing w:after="60"/>
      <w:outlineLvl w:val="7"/>
    </w:pPr>
  </w:style>
  <w:style w:type="paragraph" w:styleId="Kop9">
    <w:name w:val="heading 9"/>
    <w:basedOn w:val="Standaard"/>
    <w:next w:val="Standaard"/>
    <w:qFormat/>
    <w:pPr>
      <w:numPr>
        <w:ilvl w:val="8"/>
        <w:numId w:val="1"/>
      </w:numPr>
      <w:spacing w:after="60"/>
      <w:outlineLvl w:val="8"/>
    </w:pPr>
  </w:style>
  <w:style w:type="character" w:default="1" w:styleId="Standaardalinea-lettertype">
    <w:name w:val="Default Paragraph Font"/>
    <w:semiHidden/>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
    <w:name w:val="List"/>
    <w:basedOn w:val="Standaard"/>
    <w:semiHidden/>
    <w:pPr>
      <w:ind w:left="425" w:hanging="425"/>
    </w:pPr>
    <w:rPr>
      <w:sz w:val="24"/>
    </w:rPr>
  </w:style>
  <w:style w:type="paragraph" w:styleId="Koptekst">
    <w:name w:val="header"/>
    <w:basedOn w:val="Standaard"/>
    <w:semiHidden/>
    <w:pPr>
      <w:tabs>
        <w:tab w:val="center" w:pos="4536"/>
        <w:tab w:val="right" w:pos="9072"/>
      </w:tabs>
    </w:pPr>
  </w:style>
  <w:style w:type="paragraph" w:styleId="Voettekst">
    <w:name w:val="footer"/>
    <w:basedOn w:val="Standaard"/>
    <w:semiHidden/>
    <w:pPr>
      <w:tabs>
        <w:tab w:val="center" w:pos="4536"/>
        <w:tab w:val="right" w:pos="9072"/>
      </w:tabs>
    </w:pPr>
  </w:style>
  <w:style w:type="character" w:styleId="Paginanummer">
    <w:name w:val="page number"/>
    <w:basedOn w:val="Standaardalinea-lettertype"/>
    <w:semiHidden/>
  </w:style>
  <w:style w:type="paragraph" w:customStyle="1" w:styleId="VoorNul">
    <w:name w:val="VoorNul"/>
    <w:basedOn w:val="Standaard"/>
    <w:pPr>
      <w:tabs>
        <w:tab w:val="left" w:pos="5670"/>
      </w:tabs>
      <w:spacing w:before="480"/>
      <w:jc w:val="left"/>
    </w:pPr>
  </w:style>
  <w:style w:type="paragraph" w:customStyle="1" w:styleId="Na36">
    <w:name w:val="Na36"/>
    <w:basedOn w:val="Standaard"/>
    <w:pPr>
      <w:tabs>
        <w:tab w:val="left" w:pos="5670"/>
      </w:tabs>
      <w:spacing w:after="720"/>
      <w:jc w:val="center"/>
    </w:pPr>
  </w:style>
  <w:style w:type="paragraph" w:customStyle="1" w:styleId="Na36Links">
    <w:name w:val="Na36Links"/>
    <w:basedOn w:val="Na36"/>
    <w:pPr>
      <w:jc w:val="left"/>
    </w:pPr>
  </w:style>
  <w:style w:type="paragraph" w:customStyle="1" w:styleId="Onderwerp">
    <w:name w:val="Onderwerp"/>
    <w:basedOn w:val="Standaard"/>
    <w:pPr>
      <w:tabs>
        <w:tab w:val="left" w:pos="5670"/>
      </w:tabs>
      <w:spacing w:after="720"/>
    </w:pPr>
    <w:rPr>
      <w:b/>
      <w:sz w:val="24"/>
    </w:rPr>
  </w:style>
  <w:style w:type="paragraph" w:customStyle="1" w:styleId="Kader">
    <w:name w:val="Kader"/>
    <w:basedOn w:val="Standaard"/>
    <w:next w:val="Standaard"/>
    <w:pPr>
      <w:framePr w:hSpace="142" w:wrap="notBeside" w:vAnchor="text" w:hAnchor="margin" w:xAlign="center" w:y="1"/>
      <w:pBdr>
        <w:bottom w:val="single" w:sz="12" w:space="4" w:color="auto"/>
      </w:pBdr>
      <w:jc w:val="center"/>
    </w:pPr>
    <w:rPr>
      <w:b/>
      <w:sz w:val="24"/>
      <w:lang w:val="nl-NL"/>
    </w:rPr>
  </w:style>
  <w:style w:type="paragraph" w:styleId="Bloktekst">
    <w:name w:val="Block Text"/>
    <w:basedOn w:val="Standaard"/>
    <w:semiHidden/>
    <w:pPr>
      <w:spacing w:before="120"/>
      <w:ind w:left="330" w:right="287"/>
    </w:pPr>
    <w:rPr>
      <w:lang w:val="nl-NL"/>
    </w:rPr>
  </w:style>
  <w:style w:type="paragraph" w:styleId="Plattetekst3">
    <w:name w:val="Body Text 3"/>
    <w:basedOn w:val="Standaard"/>
    <w:semiHidden/>
    <w:pPr>
      <w:spacing w:before="120"/>
    </w:pPr>
    <w:rPr>
      <w:sz w:val="20"/>
      <w:lang w:val="nl-NL"/>
    </w:rPr>
  </w:style>
  <w:style w:type="paragraph" w:styleId="Titel">
    <w:name w:val="Title"/>
    <w:basedOn w:val="Standaard"/>
    <w:qFormat/>
    <w:pPr>
      <w:spacing w:before="720"/>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Sjablonen\Overige%20documenten\Omzendbrief-VSKO.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Omzendbrief-VSKO</Template>
  <TotalTime>2</TotalTime>
  <Pages>3</Pages>
  <Words>802</Words>
  <Characters>4708</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VLAAMS SECRETARIAAT van het KATHOLIEK ONDERWIJS</vt:lpstr>
    </vt:vector>
  </TitlesOfParts>
  <Company>VSKO</Company>
  <LinksUpToDate>false</LinksUpToDate>
  <CharactersWithSpaces>5500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VLAAMS SECRETARIAAT van het KATHOLIEK ONDERWIJS</dc:title>
  <dc:subject/>
  <dc:creator>MCDM</dc:creator>
  <cp:keywords/>
  <cp:lastModifiedBy>Els Schiltz</cp:lastModifiedBy>
  <cp:revision>2</cp:revision>
  <cp:lastPrinted>2002-01-29T11:07:00Z</cp:lastPrinted>
  <dcterms:created xsi:type="dcterms:W3CDTF">2016-04-01T08:18:00Z</dcterms:created>
  <dcterms:modified xsi:type="dcterms:W3CDTF">2016-04-01T08:18:00Z</dcterms:modified>
</cp:coreProperties>
</file>